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Журнал учета замечаний и предложений общественности</w:t>
      </w:r>
    </w:p>
    <w:p w14:paraId="02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начало: 04.04.2023</w:t>
      </w:r>
    </w:p>
    <w:p w14:paraId="03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окончание: 15.05.2023 </w:t>
      </w:r>
    </w:p>
    <w:p w14:paraId="04000000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О</w:t>
      </w:r>
      <w:r>
        <w:rPr>
          <w:rFonts w:ascii="Times New Roman" w:hAnsi="Times New Roman"/>
          <w:sz w:val="26"/>
          <w:u w:val="single"/>
        </w:rPr>
        <w:t>рганизатор</w:t>
      </w:r>
      <w:r>
        <w:rPr>
          <w:rFonts w:ascii="Times New Roman" w:hAnsi="Times New Roman"/>
          <w:sz w:val="26"/>
          <w:u w:val="single"/>
        </w:rPr>
        <w:t>ы</w:t>
      </w:r>
      <w:r>
        <w:rPr>
          <w:rFonts w:ascii="Times New Roman" w:hAnsi="Times New Roman"/>
          <w:sz w:val="26"/>
          <w:u w:val="single"/>
        </w:rPr>
        <w:t xml:space="preserve"> общественных обсуждений</w:t>
      </w:r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  <w:u w:val="single"/>
        </w:rPr>
        <w:t xml:space="preserve"> 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рган(-ы), местного самоуправления, ответственный(-</w:t>
      </w:r>
      <w:r>
        <w:rPr>
          <w:rFonts w:ascii="Times New Roman" w:hAnsi="Times New Roman"/>
          <w:sz w:val="24"/>
        </w:rPr>
        <w:t>ые</w:t>
      </w:r>
      <w:r>
        <w:rPr>
          <w:rFonts w:ascii="Times New Roman" w:hAnsi="Times New Roman"/>
          <w:sz w:val="24"/>
        </w:rPr>
        <w:t>) за организацию общественного обсуждения</w:t>
      </w:r>
      <w:r>
        <w:rPr>
          <w:rFonts w:ascii="Times New Roman" w:hAnsi="Times New Roman"/>
          <w:sz w:val="24"/>
        </w:rPr>
        <w:t>: а</w:t>
      </w:r>
      <w:r>
        <w:rPr>
          <w:rFonts w:ascii="Times New Roman" w:hAnsi="Times New Roman"/>
          <w:sz w:val="24"/>
        </w:rPr>
        <w:t xml:space="preserve">дминистрация Быстринского муниципального района Камчатского края (684350 Камчатский край, Быстринский район, с. Эссо, ул. Терешковой, 1, электронный адрес: </w:t>
      </w:r>
      <w:r>
        <w:rPr>
          <w:rFonts w:ascii="Times New Roman" w:hAnsi="Times New Roman"/>
          <w:sz w:val="24"/>
        </w:rPr>
        <w:t xml:space="preserve">ADMesso@yandex.ru); с участием администраций следующих муниципальных образований – </w:t>
      </w:r>
      <w:r>
        <w:rPr>
          <w:rFonts w:ascii="Times New Roman" w:hAnsi="Times New Roman"/>
          <w:sz w:val="24"/>
        </w:rPr>
        <w:t xml:space="preserve">Администрация Елизовского муниципального района Камчатского </w:t>
      </w:r>
      <w:r>
        <w:rPr>
          <w:rFonts w:ascii="Times New Roman" w:hAnsi="Times New Roman"/>
          <w:sz w:val="24"/>
        </w:rPr>
        <w:t>края (</w:t>
      </w:r>
      <w:r>
        <w:rPr>
          <w:rFonts w:ascii="Times New Roman" w:hAnsi="Times New Roman"/>
          <w:sz w:val="24"/>
          <w:highlight w:val="white"/>
        </w:rPr>
        <w:t>г. Елизово, улица Ленина 10)</w:t>
      </w:r>
      <w:r>
        <w:rPr>
          <w:rFonts w:ascii="Times New Roman" w:hAnsi="Times New Roman"/>
          <w:sz w:val="24"/>
        </w:rPr>
        <w:t xml:space="preserve">, Администрация Мильковского муниципального района Камчатского края (с. Мильково, ул. Победы 8), Администрация Соболевского муниципального района Камчатского края (с.Соболево,ул.Советская,23), </w:t>
      </w:r>
      <w:r>
        <w:rPr>
          <w:rFonts w:ascii="Times New Roman" w:hAnsi="Times New Roman"/>
          <w:sz w:val="24"/>
        </w:rPr>
        <w:t xml:space="preserve">Администрация Усть-Большерецкого муниципального района Камчатского края (с. Усть-Большерецк, ул. Октябрьская, 14), Администрация Усть-Камчатского муниципального района Камчатского края (п. Усть-Камчатск, ул. 60 лет Октября, 24), Администрация Карагинского муниципального района Камчатского края (п. </w:t>
      </w:r>
      <w:r>
        <w:rPr>
          <w:rFonts w:ascii="Times New Roman" w:hAnsi="Times New Roman"/>
          <w:sz w:val="24"/>
        </w:rPr>
        <w:t>Оссора</w:t>
      </w:r>
      <w:r>
        <w:rPr>
          <w:rFonts w:ascii="Times New Roman" w:hAnsi="Times New Roman"/>
          <w:sz w:val="24"/>
        </w:rPr>
        <w:t xml:space="preserve">, ул. Советская, </w:t>
      </w:r>
      <w:r>
        <w:rPr>
          <w:rFonts w:ascii="Times New Roman" w:hAnsi="Times New Roman"/>
          <w:sz w:val="24"/>
        </w:rPr>
        <w:t>37),</w:t>
      </w:r>
      <w:r>
        <w:rPr>
          <w:rFonts w:ascii="Times New Roman" w:hAnsi="Times New Roman"/>
          <w:sz w:val="24"/>
        </w:rPr>
        <w:t xml:space="preserve"> Администрация Олюторского муниципального района (с. </w:t>
      </w:r>
      <w:r>
        <w:rPr>
          <w:rFonts w:ascii="Times New Roman" w:hAnsi="Times New Roman"/>
          <w:sz w:val="24"/>
        </w:rPr>
        <w:t>Тиличики</w:t>
      </w:r>
      <w:r>
        <w:rPr>
          <w:rFonts w:ascii="Times New Roman" w:hAnsi="Times New Roman"/>
          <w:sz w:val="24"/>
        </w:rPr>
        <w:t xml:space="preserve"> ул. Молодежная, 12), </w:t>
      </w:r>
      <w:r>
        <w:rPr>
          <w:rFonts w:ascii="Times New Roman" w:hAnsi="Times New Roman"/>
          <w:sz w:val="24"/>
        </w:rPr>
        <w:t>Администрация Пенжинского муниципального района Камчатского края (с. Каменское, ул. Ленина д. 12), Администрация Тигильского муниципального района Камчатского края (с. Тигиль, ул. Партизанская, 17).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 (он же исполнитель) работ по оценке воздействия на окружающую среду): Министерство природных ресурсов и экологии Камчатского края, ОГРН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" w:hAnsi="Times New Roman"/>
          <w:sz w:val="24"/>
        </w:rPr>
        <w:t>1074101008134, ИНН 4101120894, 683000, г. Петропавловск-Камчатский, пл. Ленина, 1 (почтовый адрес),</w:t>
      </w:r>
      <w:r>
        <w:rPr>
          <w:rFonts w:ascii="Times New Roman" w:hAnsi="Times New Roman"/>
          <w:sz w:val="24"/>
        </w:rPr>
        <w:t xml:space="preserve"> г. Петропавловск-Камчатский, ул. Владивостокская, д. 2/1 (фактический адрес)</w:t>
      </w:r>
      <w:r>
        <w:rPr>
          <w:rFonts w:ascii="Times New Roman" w:hAnsi="Times New Roman"/>
          <w:sz w:val="24"/>
        </w:rPr>
        <w:t>.</w:t>
      </w:r>
    </w:p>
    <w:p w14:paraId="08000000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Н</w:t>
      </w:r>
      <w:r>
        <w:rPr>
          <w:rFonts w:ascii="Times New Roman" w:hAnsi="Times New Roman"/>
          <w:sz w:val="26"/>
          <w:u w:val="single"/>
        </w:rPr>
        <w:t>аименовани</w:t>
      </w:r>
      <w:r>
        <w:rPr>
          <w:rFonts w:ascii="Times New Roman" w:hAnsi="Times New Roman"/>
          <w:sz w:val="26"/>
          <w:u w:val="single"/>
        </w:rPr>
        <w:t>е</w:t>
      </w:r>
      <w:r>
        <w:rPr>
          <w:rFonts w:ascii="Times New Roman" w:hAnsi="Times New Roman"/>
          <w:sz w:val="26"/>
          <w:u w:val="single"/>
        </w:rPr>
        <w:t xml:space="preserve"> объекта общественных обсуждений</w:t>
      </w:r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>«Материалы, обосновывающие объемы (лимиты, квоты) изъятия охотничьих ресурсов на территории Камчатского края на период с 1 августа 2023 года до 1 августа 2024 года»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включая предварительные материалы оценки воздействия на окружающую среду</w:t>
      </w:r>
    </w:p>
    <w:p w14:paraId="09000000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Ф</w:t>
      </w:r>
      <w:r>
        <w:rPr>
          <w:rFonts w:ascii="Times New Roman" w:hAnsi="Times New Roman"/>
          <w:sz w:val="26"/>
          <w:u w:val="single"/>
        </w:rPr>
        <w:t>орм</w:t>
      </w:r>
      <w:r>
        <w:rPr>
          <w:rFonts w:ascii="Times New Roman" w:hAnsi="Times New Roman"/>
          <w:sz w:val="26"/>
          <w:u w:val="single"/>
        </w:rPr>
        <w:t>а</w:t>
      </w:r>
      <w:r>
        <w:rPr>
          <w:rFonts w:ascii="Times New Roman" w:hAnsi="Times New Roman"/>
          <w:sz w:val="26"/>
          <w:u w:val="single"/>
        </w:rPr>
        <w:t xml:space="preserve"> проведения общественных обсуждений</w:t>
      </w:r>
      <w:r>
        <w:rPr>
          <w:rFonts w:ascii="Times New Roman" w:hAnsi="Times New Roman"/>
          <w:sz w:val="26"/>
          <w:u w:val="single"/>
        </w:rPr>
        <w:t xml:space="preserve">: </w:t>
      </w:r>
      <w:r>
        <w:rPr>
          <w:rFonts w:ascii="Times New Roman" w:hAnsi="Times New Roman"/>
          <w:sz w:val="26"/>
        </w:rPr>
        <w:t>слушания</w:t>
      </w:r>
    </w:p>
    <w:p w14:paraId="0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П</w:t>
      </w:r>
      <w:r>
        <w:rPr>
          <w:rFonts w:ascii="Times New Roman" w:hAnsi="Times New Roman"/>
          <w:sz w:val="26"/>
          <w:u w:val="single"/>
        </w:rPr>
        <w:t>ериод ознакомления с материалами общественных обсуждений</w:t>
      </w:r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z w:val="26"/>
        </w:rPr>
        <w:t xml:space="preserve">04.04.2023 по </w:t>
      </w:r>
      <w:r>
        <w:rPr>
          <w:rFonts w:ascii="Times New Roman" w:hAnsi="Times New Roman"/>
          <w:sz w:val="26"/>
        </w:rPr>
        <w:t>04</w:t>
      </w:r>
      <w:r>
        <w:rPr>
          <w:rFonts w:ascii="Times New Roman" w:hAnsi="Times New Roman"/>
          <w:sz w:val="26"/>
        </w:rPr>
        <w:t>.05.2023</w:t>
      </w:r>
      <w:r>
        <w:rPr>
          <w:rFonts w:ascii="Times New Roman" w:hAnsi="Times New Roman"/>
          <w:sz w:val="26"/>
        </w:rPr>
        <w:t xml:space="preserve"> (на официальных сайтах – по 15.05.2023)</w:t>
      </w:r>
    </w:p>
    <w:p w14:paraId="0B000000">
      <w:pPr>
        <w:rPr>
          <w:sz w:val="26"/>
        </w:rPr>
      </w:pPr>
      <w:r>
        <w:rPr>
          <w:rFonts w:ascii="Times New Roman" w:hAnsi="Times New Roman"/>
          <w:sz w:val="26"/>
          <w:u w:val="single"/>
        </w:rPr>
        <w:t>М</w:t>
      </w:r>
      <w:r>
        <w:rPr>
          <w:rFonts w:ascii="Times New Roman" w:hAnsi="Times New Roman"/>
          <w:sz w:val="26"/>
          <w:u w:val="single"/>
        </w:rPr>
        <w:t>еста размещения объекта общественных обсуждений и журнала учета замечаний и предложений общественности</w:t>
      </w:r>
      <w:r>
        <w:rPr>
          <w:rFonts w:ascii="Times New Roman" w:hAnsi="Times New Roman"/>
          <w:sz w:val="26"/>
          <w:u w:val="single"/>
        </w:rPr>
        <w:t>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амчатский край, с. Эссо, ул. Терешковой, 1, кабинет № 6 (Отдел экономики, предпринимательства, инвестиционной деятельности и туризма администрации Быстринского муниципального района)</w:t>
      </w:r>
      <w:r>
        <w:rPr>
          <w:rFonts w:ascii="Times New Roman" w:hAnsi="Times New Roman"/>
          <w:sz w:val="26"/>
        </w:rPr>
        <w:t xml:space="preserve">; </w:t>
      </w:r>
      <w:r>
        <w:rPr>
          <w:rFonts w:ascii="Times New Roman" w:hAnsi="Times New Roman"/>
          <w:sz w:val="26"/>
        </w:rPr>
        <w:t>официальн</w:t>
      </w:r>
      <w:r>
        <w:rPr>
          <w:rFonts w:ascii="Times New Roman" w:hAnsi="Times New Roman"/>
          <w:sz w:val="26"/>
        </w:rPr>
        <w:t>ый</w:t>
      </w:r>
      <w:r>
        <w:rPr>
          <w:rFonts w:ascii="Times New Roman" w:hAnsi="Times New Roman"/>
          <w:sz w:val="26"/>
        </w:rPr>
        <w:t xml:space="preserve"> сайт исполнительных органов государственной власти в сети «Интернет» на страничке Министерства в раздел</w:t>
      </w:r>
      <w:r>
        <w:rPr>
          <w:rFonts w:ascii="Times New Roman" w:hAnsi="Times New Roman"/>
          <w:sz w:val="26"/>
        </w:rPr>
        <w:t xml:space="preserve">е «Охрана и использование животного мира», подразделе «Независимая экспертиза квот, лимитов»: </w:t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"https://www.kamgov.ru/minprir/exp-limits"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https://www.kamgov.ru/minprir/exp-limits</w:t>
      </w:r>
      <w:r>
        <w:rPr>
          <w:rStyle w:val="Style_1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, официальны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сайт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 xml:space="preserve"> органов местного самоуправления, ответственных за организацию общественного обсуждения </w:t>
      </w:r>
    </w:p>
    <w:tbl>
      <w:tblPr>
        <w:tblStyle w:val="Style_2"/>
        <w:tblLayout w:type="fixed"/>
      </w:tblPr>
      <w:tblGrid>
        <w:gridCol w:w="2405"/>
        <w:gridCol w:w="2126"/>
        <w:gridCol w:w="6096"/>
        <w:gridCol w:w="2086"/>
        <w:gridCol w:w="2055"/>
      </w:tblGrid>
      <w:tr>
        <w:tc>
          <w:tcPr>
            <w:tcW w:type="dxa" w:w="2405"/>
          </w:tcPr>
          <w:p w14:paraId="0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</w:t>
            </w:r>
          </w:p>
        </w:tc>
        <w:tc>
          <w:tcPr>
            <w:tcW w:type="dxa" w:w="2126"/>
          </w:tcPr>
          <w:p w14:paraId="0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type="dxa" w:w="6096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  <w:bookmarkStart w:id="1" w:name="_GoBack"/>
            <w:bookmarkEnd w:id="1"/>
          </w:p>
        </w:tc>
        <w:tc>
          <w:tcPr>
            <w:tcW w:type="dxa" w:w="2086"/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 (подпись, в случае проведения обсуждений в дистанционном формате подписи отсутствуют)</w:t>
            </w:r>
          </w:p>
        </w:tc>
        <w:tc>
          <w:tcPr>
            <w:tcW w:type="dxa" w:w="2055"/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дату и подпись с указанием фамилии, имени и отчества (при наличии) лица, ответственного за ведение журнала</w:t>
            </w:r>
          </w:p>
        </w:tc>
      </w:tr>
      <w:tr>
        <w:tc>
          <w:tcPr>
            <w:tcW w:type="dxa" w:w="2405"/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</w:tcPr>
          <w:p w14:paraId="1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6"/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86"/>
          </w:tcPr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55"/>
          </w:tcPr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6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86"/>
          </w:tcPr>
          <w:p w14:paraId="2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55"/>
          </w:tcPr>
          <w:p w14:paraId="2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2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</w:tcPr>
          <w:p w14:paraId="2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6"/>
          </w:tcPr>
          <w:p w14:paraId="2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86"/>
          </w:tcPr>
          <w:p w14:paraId="3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55"/>
          </w:tcPr>
          <w:p w14:paraId="3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3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</w:tcPr>
          <w:p w14:paraId="3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6"/>
          </w:tcPr>
          <w:p w14:paraId="3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86"/>
          </w:tcPr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55"/>
          </w:tcPr>
          <w:p w14:paraId="4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405"/>
          </w:tcPr>
          <w:p w14:paraId="4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</w:tcPr>
          <w:p w14:paraId="4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96"/>
          </w:tcPr>
          <w:p w14:paraId="4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86"/>
          </w:tcPr>
          <w:p w14:paraId="4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55"/>
          </w:tcPr>
          <w:p w14:paraId="5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2000000"/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12"/>
    <w:link w:val="Style_1_ch"/>
    <w:rPr>
      <w:color w:themeColor="hyperlink" w:val="0563C1"/>
      <w:u w:val="single"/>
    </w:rPr>
  </w:style>
  <w:style w:styleId="Style_1_ch" w:type="character">
    <w:name w:val="Hyperlink"/>
    <w:basedOn w:val="Style_12_ch"/>
    <w:link w:val="Style_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2023-04-03T01:23:33Z</dcterms:modified>
</cp:coreProperties>
</file>