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C5183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B6845" w:rsidRDefault="000B6845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52577B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17</w:t>
      </w:r>
      <w:r w:rsidR="008175B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ноя</w:t>
      </w:r>
      <w:r w:rsidR="00005FBD">
        <w:rPr>
          <w:b/>
          <w:color w:val="000000"/>
          <w:szCs w:val="28"/>
        </w:rPr>
        <w:t>б</w:t>
      </w:r>
      <w:r w:rsidR="008175BD">
        <w:rPr>
          <w:b/>
          <w:color w:val="000000"/>
          <w:szCs w:val="28"/>
        </w:rPr>
        <w:t>ря</w:t>
      </w:r>
      <w:r w:rsidR="0071197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2020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    с. Соболево                                      </w:t>
      </w:r>
      <w:r w:rsidR="006853AD" w:rsidRPr="006310F4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259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C5183A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B6845" w:rsidRDefault="000B6845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>жилым помещением (платы за наем), для нанимателей жилых помещений муниципального специализированного фонда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05FBD">
        <w:rPr>
          <w:rFonts w:ascii="Times New Roman" w:hAnsi="Times New Roman" w:cs="Times New Roman"/>
          <w:b/>
          <w:sz w:val="28"/>
          <w:szCs w:val="28"/>
        </w:rPr>
        <w:t>на 202</w:t>
      </w:r>
      <w:r w:rsidR="0052577B">
        <w:rPr>
          <w:rFonts w:ascii="Times New Roman" w:hAnsi="Times New Roman" w:cs="Times New Roman"/>
          <w:b/>
          <w:sz w:val="28"/>
          <w:szCs w:val="28"/>
        </w:rPr>
        <w:t>1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>для нанимателей жилых помещений 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Уставом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r w:rsidR="006E1112">
        <w:rPr>
          <w:color w:val="000000"/>
          <w:szCs w:val="28"/>
        </w:rPr>
        <w:t xml:space="preserve"> Камчатского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8175BD" w:rsidRPr="008175BD" w:rsidRDefault="008175BD" w:rsidP="008175BD">
      <w:pPr>
        <w:pStyle w:val="ad"/>
        <w:widowControl w:val="0"/>
        <w:numPr>
          <w:ilvl w:val="0"/>
          <w:numId w:val="40"/>
        </w:numPr>
        <w:tabs>
          <w:tab w:val="left" w:pos="326"/>
        </w:tabs>
        <w:spacing w:line="322" w:lineRule="exact"/>
        <w:ind w:left="0" w:firstLine="426"/>
        <w:jc w:val="both"/>
        <w:rPr>
          <w:color w:val="000000"/>
          <w:szCs w:val="28"/>
          <w:lang w:bidi="ru-RU"/>
        </w:rPr>
      </w:pPr>
      <w:r w:rsidRPr="008175BD">
        <w:rPr>
          <w:color w:val="000000"/>
          <w:szCs w:val="28"/>
          <w:lang w:bidi="ru-RU"/>
        </w:rPr>
        <w:t xml:space="preserve">Установить размер  платы </w:t>
      </w:r>
      <w:r w:rsidR="00005FBD">
        <w:rPr>
          <w:color w:val="000000"/>
          <w:szCs w:val="28"/>
          <w:lang w:bidi="ru-RU"/>
        </w:rPr>
        <w:t>на 202</w:t>
      </w:r>
      <w:r w:rsidR="0052577B">
        <w:rPr>
          <w:color w:val="000000"/>
          <w:szCs w:val="28"/>
          <w:lang w:bidi="ru-RU"/>
        </w:rPr>
        <w:t>1</w:t>
      </w:r>
      <w:r w:rsidRPr="008175BD">
        <w:rPr>
          <w:color w:val="000000"/>
          <w:szCs w:val="28"/>
          <w:lang w:bidi="ru-RU"/>
        </w:rPr>
        <w:t xml:space="preserve"> год за пользование жилым помещением (платы за наем), принадлежащих на праве муниципальной собственности Соболевскому муниципальному району  для нанимателей жилых помещений муниципального специализированного фонда Соболевского муниципального района  согласно приложению №1.</w:t>
      </w:r>
    </w:p>
    <w:p w:rsidR="00C37212" w:rsidRPr="00C5183A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</w:t>
      </w:r>
      <w:r>
        <w:rPr>
          <w:szCs w:val="28"/>
        </w:rPr>
        <w:t xml:space="preserve"> 2.</w:t>
      </w:r>
      <w:r w:rsidR="000B6845">
        <w:rPr>
          <w:szCs w:val="28"/>
        </w:rPr>
        <w:t xml:space="preserve"> 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8175BD">
        <w:rPr>
          <w:szCs w:val="28"/>
        </w:rPr>
        <w:t>на 20</w:t>
      </w:r>
      <w:r w:rsidR="00005FBD">
        <w:rPr>
          <w:szCs w:val="28"/>
        </w:rPr>
        <w:t>2</w:t>
      </w:r>
      <w:r w:rsidR="0052577B">
        <w:rPr>
          <w:szCs w:val="28"/>
        </w:rPr>
        <w:t>1</w:t>
      </w:r>
      <w:r w:rsidR="00640073" w:rsidRPr="00C37212">
        <w:rPr>
          <w:szCs w:val="28"/>
        </w:rPr>
        <w:t xml:space="preserve"> год </w:t>
      </w:r>
      <w:r w:rsidR="00246894" w:rsidRPr="00C37212">
        <w:rPr>
          <w:szCs w:val="28"/>
        </w:rPr>
        <w:t xml:space="preserve">коэффициент соответствия </w:t>
      </w:r>
      <w:r w:rsidR="008049FA">
        <w:rPr>
          <w:szCs w:val="28"/>
        </w:rPr>
        <w:t xml:space="preserve">платы </w:t>
      </w:r>
      <w:r w:rsidR="00246894" w:rsidRPr="00C37212">
        <w:rPr>
          <w:szCs w:val="28"/>
        </w:rPr>
        <w:t xml:space="preserve">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</w:t>
      </w:r>
      <w:r w:rsidR="00AD1E26" w:rsidRPr="00C5183A">
        <w:rPr>
          <w:szCs w:val="28"/>
        </w:rPr>
        <w:t>0,1</w:t>
      </w:r>
      <w:r w:rsidR="00C5183A" w:rsidRPr="00C5183A">
        <w:rPr>
          <w:szCs w:val="28"/>
        </w:rPr>
        <w:t>473</w:t>
      </w:r>
      <w:r w:rsidR="00246894" w:rsidRPr="00C5183A">
        <w:rPr>
          <w:szCs w:val="28"/>
        </w:rPr>
        <w:t>.</w:t>
      </w:r>
    </w:p>
    <w:p w:rsidR="008175BD" w:rsidRDefault="00C37212" w:rsidP="00C37212">
      <w:pPr>
        <w:spacing w:before="120"/>
        <w:jc w:val="both"/>
        <w:rPr>
          <w:szCs w:val="28"/>
        </w:rPr>
      </w:pPr>
      <w:r w:rsidRPr="00C5183A">
        <w:rPr>
          <w:szCs w:val="28"/>
        </w:rPr>
        <w:t xml:space="preserve">  </w:t>
      </w:r>
      <w:r w:rsidR="000B6845" w:rsidRPr="00C5183A">
        <w:rPr>
          <w:szCs w:val="28"/>
        </w:rPr>
        <w:t xml:space="preserve">   </w:t>
      </w:r>
      <w:r w:rsidRPr="00C5183A">
        <w:rPr>
          <w:szCs w:val="28"/>
        </w:rPr>
        <w:t>3.</w:t>
      </w:r>
      <w:r w:rsidR="000B6845" w:rsidRPr="00C5183A">
        <w:rPr>
          <w:szCs w:val="28"/>
        </w:rPr>
        <w:t xml:space="preserve"> </w:t>
      </w:r>
      <w:r w:rsidR="00246894" w:rsidRPr="00C5183A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жилых помещений муниципального специализированного фонда Соболевского муниципального района </w:t>
      </w:r>
      <w:r w:rsidR="008175BD" w:rsidRPr="008175BD">
        <w:rPr>
          <w:szCs w:val="28"/>
        </w:rPr>
        <w:t>на 20</w:t>
      </w:r>
      <w:r w:rsidR="00005FBD">
        <w:rPr>
          <w:szCs w:val="28"/>
        </w:rPr>
        <w:t>2</w:t>
      </w:r>
      <w:r w:rsidR="0052577B">
        <w:rPr>
          <w:szCs w:val="28"/>
        </w:rPr>
        <w:t>1</w:t>
      </w:r>
      <w:r w:rsidR="008175BD">
        <w:rPr>
          <w:szCs w:val="28"/>
        </w:rPr>
        <w:t xml:space="preserve"> год</w:t>
      </w:r>
      <w:r w:rsidR="008175BD" w:rsidRPr="008175BD">
        <w:rPr>
          <w:szCs w:val="28"/>
        </w:rPr>
        <w:t xml:space="preserve"> </w:t>
      </w:r>
      <w:r w:rsidR="0044093A" w:rsidRPr="00C37212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005FBD">
        <w:rPr>
          <w:szCs w:val="28"/>
        </w:rPr>
        <w:t>2.</w:t>
      </w:r>
    </w:p>
    <w:p w:rsidR="00D21A72" w:rsidRDefault="00D21A7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  4.</w:t>
      </w:r>
      <w:r w:rsidRPr="00D21A72">
        <w:t xml:space="preserve"> </w:t>
      </w:r>
      <w:r w:rsidRPr="00D21A72">
        <w:rPr>
          <w:szCs w:val="28"/>
        </w:rPr>
        <w:t>Считать утратившим силу постановление администрации Соболевс</w:t>
      </w:r>
      <w:r>
        <w:rPr>
          <w:szCs w:val="28"/>
        </w:rPr>
        <w:t xml:space="preserve">кого муниципального района  от </w:t>
      </w:r>
      <w:r w:rsidR="0052577B">
        <w:rPr>
          <w:szCs w:val="28"/>
        </w:rPr>
        <w:t>12 декабря</w:t>
      </w:r>
      <w:r w:rsidRPr="00D21A72">
        <w:rPr>
          <w:szCs w:val="28"/>
        </w:rPr>
        <w:t xml:space="preserve">  201</w:t>
      </w:r>
      <w:r w:rsidR="0052577B">
        <w:rPr>
          <w:szCs w:val="28"/>
        </w:rPr>
        <w:t>9</w:t>
      </w:r>
      <w:r w:rsidRPr="00D21A72">
        <w:rPr>
          <w:szCs w:val="28"/>
        </w:rPr>
        <w:t xml:space="preserve"> года  № </w:t>
      </w:r>
      <w:r>
        <w:rPr>
          <w:szCs w:val="28"/>
        </w:rPr>
        <w:t>3</w:t>
      </w:r>
      <w:r w:rsidR="0052577B">
        <w:rPr>
          <w:szCs w:val="28"/>
        </w:rPr>
        <w:t>67</w:t>
      </w:r>
      <w:r w:rsidRPr="00D21A72">
        <w:rPr>
          <w:szCs w:val="28"/>
        </w:rPr>
        <w:t xml:space="preserve">  «Об установлении размера платы за пользование  жилым помещением (платы за наем), для нанимателей жилых помещений муниципального специализированного фонда  Соболевског</w:t>
      </w:r>
      <w:r>
        <w:rPr>
          <w:szCs w:val="28"/>
        </w:rPr>
        <w:t>о муниципального района   на 201</w:t>
      </w:r>
      <w:r w:rsidR="0052577B">
        <w:rPr>
          <w:szCs w:val="28"/>
        </w:rPr>
        <w:t>9</w:t>
      </w:r>
      <w:r w:rsidRPr="00D21A72">
        <w:rPr>
          <w:szCs w:val="28"/>
        </w:rPr>
        <w:t xml:space="preserve"> год».</w:t>
      </w:r>
    </w:p>
    <w:p w:rsidR="00D21A72" w:rsidRDefault="00D21A72" w:rsidP="00C37212">
      <w:pPr>
        <w:spacing w:before="120"/>
        <w:jc w:val="both"/>
        <w:rPr>
          <w:szCs w:val="28"/>
        </w:rPr>
      </w:pPr>
    </w:p>
    <w:p w:rsidR="006853AD" w:rsidRPr="00C37212" w:rsidRDefault="008175BD" w:rsidP="00C37212">
      <w:pPr>
        <w:spacing w:before="120"/>
        <w:jc w:val="both"/>
        <w:rPr>
          <w:szCs w:val="28"/>
        </w:rPr>
      </w:pPr>
      <w:r>
        <w:rPr>
          <w:szCs w:val="28"/>
        </w:rPr>
        <w:lastRenderedPageBreak/>
        <w:t xml:space="preserve">    5. 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</w:t>
      </w:r>
      <w:r w:rsidR="00C61025">
        <w:rPr>
          <w:szCs w:val="28"/>
        </w:rPr>
        <w:t>направить</w:t>
      </w:r>
      <w:r w:rsidR="006853AD" w:rsidRPr="00C37212">
        <w:rPr>
          <w:szCs w:val="28"/>
        </w:rPr>
        <w:t xml:space="preserve"> настоящее постановление</w:t>
      </w:r>
      <w:r w:rsidR="00C61025">
        <w:rPr>
          <w:szCs w:val="28"/>
        </w:rPr>
        <w:t xml:space="preserve"> для опубликования </w:t>
      </w:r>
      <w:r w:rsidR="000A501E" w:rsidRPr="00C37212">
        <w:rPr>
          <w:szCs w:val="28"/>
        </w:rPr>
        <w:t>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8175BD" w:rsidP="00C37212">
      <w:pPr>
        <w:spacing w:before="120"/>
        <w:jc w:val="both"/>
        <w:rPr>
          <w:szCs w:val="28"/>
        </w:rPr>
      </w:pPr>
      <w:r>
        <w:rPr>
          <w:color w:val="000000"/>
          <w:szCs w:val="28"/>
        </w:rPr>
        <w:t xml:space="preserve">   6</w:t>
      </w:r>
      <w:r w:rsidR="00C37212">
        <w:rPr>
          <w:color w:val="000000"/>
          <w:szCs w:val="28"/>
        </w:rPr>
        <w:t>.</w:t>
      </w:r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 xml:space="preserve">за исполнением настоящего постановления возложить на Комитет </w:t>
      </w:r>
      <w:r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8175BD" w:rsidP="008175BD">
      <w:pPr>
        <w:spacing w:before="120"/>
        <w:jc w:val="both"/>
        <w:rPr>
          <w:szCs w:val="28"/>
        </w:rPr>
      </w:pPr>
      <w:r>
        <w:rPr>
          <w:szCs w:val="28"/>
        </w:rPr>
        <w:t xml:space="preserve">    7</w:t>
      </w:r>
      <w:r w:rsidR="00C37212">
        <w:rPr>
          <w:szCs w:val="28"/>
        </w:rPr>
        <w:t>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правоотношения возник</w:t>
      </w:r>
      <w:r w:rsidR="00C61025">
        <w:rPr>
          <w:szCs w:val="28"/>
        </w:rPr>
        <w:t>ающие</w:t>
      </w:r>
      <w:r w:rsidR="003F57D7">
        <w:rPr>
          <w:szCs w:val="28"/>
        </w:rPr>
        <w:t xml:space="preserve"> с 01</w:t>
      </w:r>
      <w:r w:rsidR="00C37212">
        <w:rPr>
          <w:szCs w:val="28"/>
        </w:rPr>
        <w:t xml:space="preserve"> </w:t>
      </w:r>
      <w:r w:rsidR="009E7705">
        <w:rPr>
          <w:szCs w:val="28"/>
        </w:rPr>
        <w:t xml:space="preserve">января </w:t>
      </w:r>
      <w:r w:rsidR="00005FBD">
        <w:rPr>
          <w:szCs w:val="28"/>
        </w:rPr>
        <w:t>202</w:t>
      </w:r>
      <w:r w:rsidR="0052577B">
        <w:rPr>
          <w:szCs w:val="28"/>
        </w:rPr>
        <w:t>1</w:t>
      </w:r>
      <w:r w:rsidR="003F57D7">
        <w:rPr>
          <w:szCs w:val="28"/>
        </w:rPr>
        <w:t xml:space="preserve"> года.</w:t>
      </w:r>
    </w:p>
    <w:p w:rsidR="006853AD" w:rsidRDefault="006853AD" w:rsidP="006853AD">
      <w:pPr>
        <w:jc w:val="both"/>
        <w:rPr>
          <w:b/>
          <w:szCs w:val="28"/>
        </w:rPr>
      </w:pPr>
    </w:p>
    <w:p w:rsidR="003F57D7" w:rsidRDefault="003F57D7" w:rsidP="006853AD">
      <w:pPr>
        <w:jc w:val="both"/>
        <w:rPr>
          <w:b/>
          <w:szCs w:val="28"/>
        </w:rPr>
      </w:pPr>
    </w:p>
    <w:p w:rsidR="000B6845" w:rsidRPr="006310F4" w:rsidRDefault="000B6845" w:rsidP="006853AD">
      <w:pPr>
        <w:jc w:val="both"/>
        <w:rPr>
          <w:b/>
          <w:szCs w:val="28"/>
        </w:rPr>
      </w:pPr>
    </w:p>
    <w:p w:rsidR="007C51B1" w:rsidRPr="006310F4" w:rsidRDefault="00005FBD" w:rsidP="003703DA">
      <w:pPr>
        <w:rPr>
          <w:szCs w:val="28"/>
        </w:rPr>
      </w:pPr>
      <w:r>
        <w:rPr>
          <w:szCs w:val="28"/>
        </w:rPr>
        <w:t xml:space="preserve">Глава </w:t>
      </w:r>
      <w:r w:rsidR="006853AD"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="006853AD"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="006853AD" w:rsidRPr="006310F4">
        <w:rPr>
          <w:szCs w:val="28"/>
        </w:rPr>
        <w:t xml:space="preserve">        </w:t>
      </w:r>
      <w:r>
        <w:rPr>
          <w:szCs w:val="28"/>
        </w:rPr>
        <w:t>В.И.Куркин</w:t>
      </w:r>
    </w:p>
    <w:p w:rsidR="006853AD" w:rsidRDefault="006853AD" w:rsidP="00CC6DC1">
      <w:pPr>
        <w:ind w:firstLine="709"/>
        <w:jc w:val="both"/>
        <w:rPr>
          <w:szCs w:val="28"/>
        </w:rPr>
      </w:pPr>
    </w:p>
    <w:p w:rsidR="001669BC" w:rsidRDefault="001669B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005FBD" w:rsidRDefault="00005FB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Приложение</w:t>
            </w:r>
            <w:r w:rsidR="00620D9C" w:rsidRPr="00C37212">
              <w:rPr>
                <w:sz w:val="24"/>
                <w:szCs w:val="24"/>
              </w:rPr>
              <w:t xml:space="preserve"> </w:t>
            </w:r>
            <w:r w:rsidR="00C37212">
              <w:rPr>
                <w:sz w:val="24"/>
                <w:szCs w:val="24"/>
              </w:rPr>
              <w:t>№</w:t>
            </w:r>
            <w:r w:rsidR="00620D9C" w:rsidRPr="00C37212">
              <w:rPr>
                <w:sz w:val="24"/>
                <w:szCs w:val="24"/>
              </w:rPr>
              <w:t>1</w:t>
            </w:r>
            <w:r w:rsidRPr="00C37212">
              <w:rPr>
                <w:sz w:val="24"/>
                <w:szCs w:val="24"/>
              </w:rPr>
              <w:t xml:space="preserve"> </w:t>
            </w:r>
          </w:p>
          <w:p w:rsid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Соболевского муниципального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района </w:t>
            </w:r>
            <w:r w:rsidR="00D356F1" w:rsidRPr="00C37212">
              <w:rPr>
                <w:sz w:val="24"/>
                <w:szCs w:val="24"/>
              </w:rPr>
              <w:t xml:space="preserve">           </w:t>
            </w:r>
          </w:p>
          <w:p w:rsidR="006853AD" w:rsidRPr="00E25ED1" w:rsidRDefault="00D356F1" w:rsidP="0052577B">
            <w:pPr>
              <w:jc w:val="right"/>
            </w:pPr>
            <w:r w:rsidRPr="00C37212">
              <w:rPr>
                <w:sz w:val="24"/>
                <w:szCs w:val="24"/>
              </w:rPr>
              <w:t xml:space="preserve">   </w:t>
            </w:r>
            <w:r w:rsidR="006853AD" w:rsidRPr="00C37212">
              <w:rPr>
                <w:sz w:val="24"/>
                <w:szCs w:val="24"/>
              </w:rPr>
              <w:t>от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="00005FBD">
              <w:rPr>
                <w:sz w:val="24"/>
                <w:szCs w:val="24"/>
              </w:rPr>
              <w:t>1</w:t>
            </w:r>
            <w:r w:rsidR="0052577B">
              <w:rPr>
                <w:sz w:val="24"/>
                <w:szCs w:val="24"/>
              </w:rPr>
              <w:t>7</w:t>
            </w:r>
            <w:r w:rsidR="009E7705">
              <w:rPr>
                <w:sz w:val="24"/>
                <w:szCs w:val="24"/>
              </w:rPr>
              <w:t>.1</w:t>
            </w:r>
            <w:r w:rsidR="0052577B">
              <w:rPr>
                <w:sz w:val="24"/>
                <w:szCs w:val="24"/>
              </w:rPr>
              <w:t>1.2020</w:t>
            </w:r>
            <w:r w:rsidR="001669BC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 </w:t>
            </w:r>
            <w:r w:rsidR="006853AD" w:rsidRPr="00C37212">
              <w:rPr>
                <w:sz w:val="24"/>
                <w:szCs w:val="24"/>
              </w:rPr>
              <w:t xml:space="preserve">№ </w:t>
            </w:r>
            <w:r w:rsidR="0052577B">
              <w:rPr>
                <w:sz w:val="24"/>
                <w:szCs w:val="24"/>
              </w:rPr>
              <w:t>259</w:t>
            </w:r>
          </w:p>
        </w:tc>
      </w:tr>
    </w:tbl>
    <w:p w:rsidR="006229C3" w:rsidRDefault="001669BC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1669BC">
        <w:rPr>
          <w:b/>
          <w:szCs w:val="28"/>
        </w:rPr>
        <w:t xml:space="preserve"> </w:t>
      </w:r>
      <w:r w:rsidR="006229C3"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>для нанимателей жилых помещений муниципального специализированного фонда Соболевского муниципального района</w:t>
      </w:r>
      <w:r w:rsidR="0052577B">
        <w:rPr>
          <w:szCs w:val="28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850"/>
        <w:gridCol w:w="709"/>
        <w:gridCol w:w="850"/>
        <w:gridCol w:w="993"/>
        <w:gridCol w:w="1275"/>
      </w:tblGrid>
      <w:tr w:rsidR="006229C3" w:rsidRPr="001669BC" w:rsidTr="00677556">
        <w:trPr>
          <w:trHeight w:val="193"/>
        </w:trPr>
        <w:tc>
          <w:tcPr>
            <w:tcW w:w="675" w:type="dxa"/>
            <w:vMerge w:val="restart"/>
          </w:tcPr>
          <w:p w:rsidR="006229C3" w:rsidRPr="001669BC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  <w:gridSpan w:val="4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75" w:type="dxa"/>
            <w:vMerge w:val="restart"/>
          </w:tcPr>
          <w:p w:rsidR="006229C3" w:rsidRPr="001669BC" w:rsidRDefault="00DB69C7" w:rsidP="00DB6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229C3" w:rsidRPr="001669BC" w:rsidTr="00677556">
        <w:trPr>
          <w:trHeight w:val="369"/>
        </w:trPr>
        <w:tc>
          <w:tcPr>
            <w:tcW w:w="675" w:type="dxa"/>
            <w:vMerge/>
          </w:tcPr>
          <w:p w:rsidR="006229C3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 w:rsidRPr="001669BC">
              <w:rPr>
                <w:b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2</w:t>
            </w:r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993" w:type="dxa"/>
          </w:tcPr>
          <w:p w:rsidR="006229C3" w:rsidRPr="00DB69C7" w:rsidRDefault="00DB69C7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B69C7">
              <w:rPr>
                <w:b/>
                <w:sz w:val="24"/>
                <w:szCs w:val="24"/>
              </w:rPr>
              <w:t>К</w:t>
            </w:r>
            <w:r w:rsidRPr="00DB69C7">
              <w:rPr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275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40FF" w:rsidRPr="001669BC" w:rsidTr="00C37212">
        <w:tc>
          <w:tcPr>
            <w:tcW w:w="675" w:type="dxa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0FF">
              <w:rPr>
                <w:b/>
                <w:sz w:val="24"/>
                <w:szCs w:val="24"/>
              </w:rPr>
              <w:t>с.Соболево</w:t>
            </w:r>
          </w:p>
        </w:tc>
      </w:tr>
      <w:tr w:rsidR="00AD1E26" w:rsidRPr="001669BC" w:rsidTr="00C37212">
        <w:trPr>
          <w:trHeight w:val="300"/>
        </w:trPr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AD1E26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ул.Комсомольская, д. 30, кв. 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C5183A" w:rsidRDefault="00CA76D4" w:rsidP="00C5183A">
            <w:pPr>
              <w:rPr>
                <w:sz w:val="24"/>
                <w:szCs w:val="24"/>
              </w:rPr>
            </w:pPr>
            <w:r w:rsidRPr="00C5183A">
              <w:rPr>
                <w:color w:val="000000"/>
                <w:sz w:val="24"/>
                <w:szCs w:val="24"/>
                <w:lang w:bidi="ru-RU"/>
              </w:rPr>
              <w:t>0,</w:t>
            </w:r>
            <w:r w:rsidR="00C5183A" w:rsidRPr="00C5183A">
              <w:rPr>
                <w:color w:val="000000"/>
                <w:sz w:val="24"/>
                <w:szCs w:val="24"/>
                <w:lang w:bidi="ru-RU"/>
              </w:rPr>
              <w:t>1473</w:t>
            </w:r>
          </w:p>
        </w:tc>
        <w:tc>
          <w:tcPr>
            <w:tcW w:w="1275" w:type="dxa"/>
          </w:tcPr>
          <w:p w:rsidR="00AD1E26" w:rsidRPr="00267C21" w:rsidRDefault="0052577B" w:rsidP="00AD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rPr>
          <w:trHeight w:val="300"/>
        </w:trPr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ул.Комсомольская, д.36, кв.1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5183A" w:rsidRPr="009477B8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ул.Комсомольская, д.36, кв.3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5183A" w:rsidRPr="009477B8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 xml:space="preserve">ул. Комсомольская, д.64 А, кв. 8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A76D4">
        <w:trPr>
          <w:trHeight w:val="285"/>
        </w:trPr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5183A" w:rsidRPr="009477B8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 xml:space="preserve">ул.Комсомольская, д.64 А, кв. 11   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ул.Комсомольская, д. 64 Б, кв. 6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Комсомольская, д.64 Д, кв. 2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 xml:space="preserve"> ул.Комсомольская, д. 64 Д, кв. </w:t>
            </w:r>
            <w:r>
              <w:rPr>
                <w:sz w:val="24"/>
                <w:szCs w:val="24"/>
              </w:rPr>
              <w:t>11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 Е, кв.11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 2, кв. 9</w:t>
            </w:r>
            <w:r w:rsidRPr="00D44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 2 А, кв. 6</w:t>
            </w:r>
            <w:r w:rsidRPr="006639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ул.Заречная, д. 2 Б, кв. 6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ул.Заречная, д. 2 В, 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6, кв. 3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д.8, кв. 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 xml:space="preserve">ул. Заречная, д.8, кв.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ул.Заречная, д. 8 А, кв. 7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 А, кв. 3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C5183A" w:rsidRPr="0006291E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 А,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C5183A" w:rsidRPr="0006291E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ул.Энергетиков, д.1А</w:t>
            </w:r>
            <w:r w:rsidRPr="0066394E">
              <w:rPr>
                <w:sz w:val="24"/>
                <w:szCs w:val="24"/>
              </w:rPr>
              <w:t>, кв.7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Набережная, д. 24, кв. 2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ул.Набережная, д. 24, кв. 7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д.24 а кв 3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Набережная д.24 а кв 7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5183A" w:rsidRPr="0006291E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Советская, д.16б,  кв.3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ул.Советская, д. 20, кв. 5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20, кв. 8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ул.Советская, д. 22, кв. 5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C5183A" w:rsidRPr="0006291E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ул. Советская д.30 А  кв.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C5183A" w:rsidRPr="0006291E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д.30 А  кв.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д.30 А, кв. 11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 Советская, д. 34, кв. 2   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 41,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</w:t>
            </w:r>
            <w:r>
              <w:rPr>
                <w:sz w:val="24"/>
                <w:szCs w:val="24"/>
              </w:rPr>
              <w:t>етская, д. 41, кв. 8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 43, кв. 1</w:t>
            </w:r>
            <w:r w:rsidRPr="0006291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  <w:tr w:rsidR="00C5183A" w:rsidRPr="001669BC" w:rsidTr="00C37212">
        <w:tc>
          <w:tcPr>
            <w:tcW w:w="675" w:type="dxa"/>
          </w:tcPr>
          <w:p w:rsidR="00C5183A" w:rsidRPr="00F84D77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  <w:vAlign w:val="center"/>
          </w:tcPr>
          <w:p w:rsidR="00C5183A" w:rsidRPr="00D442E0" w:rsidRDefault="00C5183A" w:rsidP="00C518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д.43 кв.2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183A" w:rsidRPr="00267C21" w:rsidRDefault="00C5183A" w:rsidP="00C5183A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0,1473</w:t>
            </w:r>
          </w:p>
        </w:tc>
        <w:tc>
          <w:tcPr>
            <w:tcW w:w="1275" w:type="dxa"/>
          </w:tcPr>
          <w:p w:rsidR="00C5183A" w:rsidRDefault="00C5183A" w:rsidP="00C5183A">
            <w:pPr>
              <w:jc w:val="center"/>
            </w:pPr>
            <w:r w:rsidRPr="00904119">
              <w:rPr>
                <w:sz w:val="24"/>
                <w:szCs w:val="24"/>
              </w:rPr>
              <w:t>10,3</w:t>
            </w:r>
          </w:p>
        </w:tc>
      </w:tr>
    </w:tbl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20D9C" w:rsidRPr="00E25ED1" w:rsidTr="000B6845">
        <w:trPr>
          <w:trHeight w:val="709"/>
        </w:trPr>
        <w:tc>
          <w:tcPr>
            <w:tcW w:w="4219" w:type="dxa"/>
          </w:tcPr>
          <w:p w:rsidR="00620D9C" w:rsidRPr="00E25ED1" w:rsidRDefault="00620D9C" w:rsidP="000B6845"/>
        </w:tc>
        <w:tc>
          <w:tcPr>
            <w:tcW w:w="5528" w:type="dxa"/>
          </w:tcPr>
          <w:p w:rsidR="00620D9C" w:rsidRP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Приложение </w:t>
            </w:r>
            <w:r w:rsidR="00C37212" w:rsidRPr="00C37212">
              <w:rPr>
                <w:sz w:val="24"/>
                <w:szCs w:val="24"/>
              </w:rPr>
              <w:t>№</w:t>
            </w:r>
            <w:r w:rsidRPr="00C37212">
              <w:rPr>
                <w:sz w:val="24"/>
                <w:szCs w:val="24"/>
              </w:rPr>
              <w:t xml:space="preserve">2 </w:t>
            </w:r>
          </w:p>
          <w:p w:rsid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20D9C" w:rsidRPr="00C37212" w:rsidRDefault="00620D9C" w:rsidP="000B6845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Соболевского муниципального района            </w:t>
            </w:r>
          </w:p>
          <w:p w:rsidR="00620D9C" w:rsidRPr="00C37212" w:rsidRDefault="00620D9C" w:rsidP="00005FBD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   </w:t>
            </w:r>
            <w:r w:rsidR="0052577B">
              <w:t xml:space="preserve"> </w:t>
            </w:r>
            <w:r w:rsidR="0052577B" w:rsidRPr="0052577B">
              <w:rPr>
                <w:sz w:val="24"/>
                <w:szCs w:val="24"/>
              </w:rPr>
              <w:t>от 17.11.2020  № 259</w:t>
            </w:r>
          </w:p>
        </w:tc>
      </w:tr>
    </w:tbl>
    <w:p w:rsidR="00620D9C" w:rsidRDefault="00620D9C" w:rsidP="00620D9C">
      <w:pPr>
        <w:jc w:val="center"/>
        <w:rPr>
          <w:color w:val="000000"/>
          <w:szCs w:val="28"/>
          <w:lang w:bidi="ru-RU"/>
        </w:rPr>
      </w:pP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C3721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  </w:t>
      </w:r>
      <w:r w:rsidRPr="00C37212">
        <w:rPr>
          <w:b/>
          <w:color w:val="000000"/>
          <w:szCs w:val="28"/>
          <w:lang w:bidi="ru-RU"/>
        </w:rPr>
        <w:t xml:space="preserve"> для нанимателей жилых помещений </w:t>
      </w:r>
      <w:r w:rsidR="00C37212">
        <w:rPr>
          <w:b/>
          <w:color w:val="000000"/>
          <w:szCs w:val="28"/>
          <w:lang w:bidi="ru-RU"/>
        </w:rPr>
        <w:t xml:space="preserve">муниципального </w:t>
      </w:r>
      <w:r w:rsidRPr="00C37212">
        <w:rPr>
          <w:b/>
          <w:color w:val="000000"/>
          <w:szCs w:val="28"/>
          <w:lang w:bidi="ru-RU"/>
        </w:rPr>
        <w:t>специализированного фонда Соболевского муниципального района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center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 xml:space="preserve">Нб = СРс * 0,001 = </w:t>
      </w:r>
      <w:r w:rsidR="00C5183A">
        <w:rPr>
          <w:color w:val="000000"/>
          <w:szCs w:val="28"/>
          <w:lang w:bidi="ru-RU"/>
        </w:rPr>
        <w:t>69 910,0</w:t>
      </w:r>
      <w:r w:rsidR="00005FBD">
        <w:rPr>
          <w:color w:val="000000"/>
          <w:szCs w:val="28"/>
          <w:lang w:bidi="ru-RU"/>
        </w:rPr>
        <w:t xml:space="preserve"> </w:t>
      </w:r>
      <w:r w:rsidRPr="00450462">
        <w:rPr>
          <w:color w:val="000000"/>
          <w:szCs w:val="28"/>
          <w:lang w:bidi="ru-RU"/>
        </w:rPr>
        <w:t xml:space="preserve">*0,001 = </w:t>
      </w:r>
      <w:r w:rsidR="00AD1E26">
        <w:rPr>
          <w:color w:val="000000"/>
          <w:szCs w:val="28"/>
          <w:lang w:bidi="ru-RU"/>
        </w:rPr>
        <w:t>6</w:t>
      </w:r>
      <w:r w:rsidR="00C5183A">
        <w:rPr>
          <w:color w:val="000000"/>
          <w:szCs w:val="28"/>
          <w:lang w:bidi="ru-RU"/>
        </w:rPr>
        <w:t>9</w:t>
      </w:r>
      <w:r w:rsidR="000B6845">
        <w:rPr>
          <w:color w:val="000000"/>
          <w:szCs w:val="28"/>
          <w:lang w:bidi="ru-RU"/>
        </w:rPr>
        <w:t>,</w:t>
      </w:r>
      <w:r w:rsidR="00C5183A">
        <w:rPr>
          <w:color w:val="000000"/>
          <w:szCs w:val="28"/>
          <w:lang w:bidi="ru-RU"/>
        </w:rPr>
        <w:t xml:space="preserve">91 </w:t>
      </w:r>
      <w:r w:rsidRPr="00450462">
        <w:rPr>
          <w:color w:val="000000"/>
          <w:szCs w:val="28"/>
          <w:lang w:bidi="ru-RU"/>
        </w:rPr>
        <w:t>(руб),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СРс – средняя цена 1 кв.м.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2. Размер платы 1 кв.м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924CF9">
      <w:pPr>
        <w:pStyle w:val="ad"/>
        <w:numPr>
          <w:ilvl w:val="0"/>
          <w:numId w:val="38"/>
        </w:numPr>
        <w:ind w:left="0" w:firstLine="709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Pr="00924CF9" w:rsidRDefault="00924CF9" w:rsidP="00924CF9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</w:t>
      </w:r>
      <w:r w:rsidRPr="00924CF9">
        <w:rPr>
          <w:color w:val="000000"/>
          <w:szCs w:val="28"/>
          <w:lang w:bidi="ru-RU"/>
        </w:rPr>
        <w:t>Кj</w:t>
      </w:r>
      <w:r>
        <w:rPr>
          <w:color w:val="000000"/>
          <w:szCs w:val="28"/>
          <w:lang w:bidi="ru-RU"/>
        </w:rPr>
        <w:t xml:space="preserve"> = (К</w:t>
      </w:r>
      <w:r>
        <w:rPr>
          <w:color w:val="000000"/>
          <w:szCs w:val="28"/>
          <w:vertAlign w:val="subscript"/>
          <w:lang w:bidi="ru-RU"/>
        </w:rPr>
        <w:t>1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2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3</w:t>
      </w:r>
      <w:r w:rsidR="00677556">
        <w:rPr>
          <w:color w:val="000000"/>
          <w:szCs w:val="28"/>
          <w:lang w:bidi="ru-RU"/>
        </w:rPr>
        <w:t>)</w:t>
      </w:r>
      <w:r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</w:p>
    <w:p w:rsidR="00450462" w:rsidRPr="00924CF9" w:rsidRDefault="000548EE" w:rsidP="00924CF9">
      <w:pPr>
        <w:pStyle w:val="ad"/>
        <w:ind w:left="0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Пнj = Нб * Кj * Кс </w:t>
      </w:r>
      <w:r w:rsidR="000B6845">
        <w:rPr>
          <w:color w:val="000000"/>
          <w:szCs w:val="28"/>
          <w:lang w:bidi="ru-RU"/>
        </w:rPr>
        <w:t xml:space="preserve"> = </w:t>
      </w:r>
      <w:r w:rsidR="00AD1E26" w:rsidRPr="00AD1E26">
        <w:rPr>
          <w:color w:val="000000"/>
          <w:szCs w:val="28"/>
          <w:lang w:bidi="ru-RU"/>
        </w:rPr>
        <w:t>6</w:t>
      </w:r>
      <w:r w:rsidR="00C5183A">
        <w:rPr>
          <w:color w:val="000000"/>
          <w:szCs w:val="28"/>
          <w:lang w:bidi="ru-RU"/>
        </w:rPr>
        <w:t>9</w:t>
      </w:r>
      <w:r w:rsidR="00AD1E26" w:rsidRPr="00AD1E26">
        <w:rPr>
          <w:color w:val="000000"/>
          <w:szCs w:val="28"/>
          <w:lang w:bidi="ru-RU"/>
        </w:rPr>
        <w:t>,</w:t>
      </w:r>
      <w:r w:rsidR="00C5183A">
        <w:rPr>
          <w:color w:val="000000"/>
          <w:szCs w:val="28"/>
          <w:lang w:bidi="ru-RU"/>
        </w:rPr>
        <w:t>91</w:t>
      </w:r>
      <w:r w:rsidR="00450462" w:rsidRPr="00924CF9">
        <w:rPr>
          <w:color w:val="000000"/>
          <w:szCs w:val="28"/>
          <w:lang w:bidi="ru-RU"/>
        </w:rPr>
        <w:t>*1*0,</w:t>
      </w:r>
      <w:r w:rsidR="000B6845">
        <w:rPr>
          <w:color w:val="000000"/>
          <w:szCs w:val="28"/>
          <w:lang w:bidi="ru-RU"/>
        </w:rPr>
        <w:t>15</w:t>
      </w:r>
      <w:r w:rsidR="00005FBD">
        <w:rPr>
          <w:color w:val="000000"/>
          <w:szCs w:val="28"/>
          <w:lang w:bidi="ru-RU"/>
        </w:rPr>
        <w:t>53</w:t>
      </w:r>
      <w:r w:rsidR="00450462" w:rsidRPr="00924CF9">
        <w:rPr>
          <w:color w:val="000000"/>
          <w:szCs w:val="28"/>
          <w:lang w:bidi="ru-RU"/>
        </w:rPr>
        <w:t xml:space="preserve">= </w:t>
      </w:r>
      <w:r w:rsidR="000B6845">
        <w:rPr>
          <w:color w:val="000000"/>
          <w:szCs w:val="28"/>
          <w:lang w:bidi="ru-RU"/>
        </w:rPr>
        <w:t>9,</w:t>
      </w:r>
      <w:r w:rsidR="00005FBD">
        <w:rPr>
          <w:color w:val="000000"/>
          <w:szCs w:val="28"/>
          <w:lang w:bidi="ru-RU"/>
        </w:rPr>
        <w:t>9</w:t>
      </w:r>
      <w:r w:rsidR="000B6845">
        <w:rPr>
          <w:color w:val="000000"/>
          <w:szCs w:val="28"/>
          <w:lang w:bidi="ru-RU"/>
        </w:rPr>
        <w:t>0</w:t>
      </w:r>
      <w:r w:rsidR="00450462" w:rsidRPr="00924CF9">
        <w:rPr>
          <w:color w:val="000000"/>
          <w:szCs w:val="28"/>
          <w:lang w:bidi="ru-RU"/>
        </w:rPr>
        <w:t xml:space="preserve"> (руб),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Пнj – размер платы за 1 кв.м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Кj – коэффициент, характеризующий качество и благоустройство жилого помещения, месторасположение дома;</w:t>
      </w:r>
    </w:p>
    <w:p w:rsidR="00450462" w:rsidRP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r w:rsidRPr="00450462">
        <w:rPr>
          <w:color w:val="000000"/>
          <w:szCs w:val="28"/>
          <w:lang w:bidi="ru-RU"/>
        </w:rPr>
        <w:tab/>
      </w:r>
    </w:p>
    <w:p w:rsidR="00620D9C" w:rsidRDefault="00620D9C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534"/>
        <w:gridCol w:w="1492"/>
        <w:gridCol w:w="1516"/>
        <w:gridCol w:w="994"/>
        <w:gridCol w:w="994"/>
      </w:tblGrid>
      <w:tr w:rsidR="00C5183A" w:rsidRPr="00C5183A" w:rsidTr="0020588C">
        <w:trPr>
          <w:trHeight w:val="937"/>
        </w:trPr>
        <w:tc>
          <w:tcPr>
            <w:tcW w:w="72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jc w:val="center"/>
              <w:rPr>
                <w:b/>
                <w:bCs/>
                <w:szCs w:val="28"/>
              </w:rPr>
            </w:pPr>
            <w:r w:rsidRPr="00C5183A">
              <w:rPr>
                <w:b/>
                <w:bCs/>
                <w:szCs w:val="28"/>
              </w:rPr>
              <w:t>Средние цены и индексы цен на рынке жилья Камчатского края в III квартале 2020 года </w:t>
            </w:r>
          </w:p>
        </w:tc>
        <w:tc>
          <w:tcPr>
            <w:tcW w:w="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74"/>
        </w:trPr>
        <w:tc>
          <w:tcPr>
            <w:tcW w:w="7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на конец квартала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461"/>
        </w:trPr>
        <w:tc>
          <w:tcPr>
            <w:tcW w:w="2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Средняя цена 1 кв. метра общей площади, рублей 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Индексы цен,  в %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III квартал</w:t>
            </w:r>
            <w:r w:rsidRPr="00C5183A">
              <w:rPr>
                <w:sz w:val="24"/>
                <w:szCs w:val="24"/>
              </w:rPr>
              <w:br/>
              <w:t>2020г.</w:t>
            </w:r>
            <w:r w:rsidRPr="00C5183A">
              <w:rPr>
                <w:sz w:val="24"/>
                <w:szCs w:val="24"/>
              </w:rPr>
              <w:br/>
              <w:t>к III кварталу</w:t>
            </w:r>
            <w:r w:rsidRPr="00C5183A">
              <w:rPr>
                <w:sz w:val="24"/>
                <w:szCs w:val="24"/>
              </w:rPr>
              <w:br/>
              <w:t>2019г.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III квартал</w:t>
            </w:r>
            <w:r w:rsidRPr="00C5183A">
              <w:rPr>
                <w:sz w:val="24"/>
                <w:szCs w:val="24"/>
              </w:rPr>
              <w:br/>
              <w:t>2020г.</w:t>
            </w:r>
            <w:r w:rsidRPr="00C5183A">
              <w:rPr>
                <w:sz w:val="24"/>
                <w:szCs w:val="24"/>
              </w:rPr>
              <w:br/>
              <w:t>к IV кварталу</w:t>
            </w:r>
            <w:r w:rsidRPr="00C5183A">
              <w:rPr>
                <w:sz w:val="24"/>
                <w:szCs w:val="24"/>
              </w:rPr>
              <w:br/>
              <w:t>2019г.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426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Первичный рынок 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72793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102,0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102,0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74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Вторичный рынок 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69910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109,7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108,4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98"/>
        </w:trPr>
        <w:tc>
          <w:tcPr>
            <w:tcW w:w="2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1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15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27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27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Copyright © Территориальный орган Федеральной службы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327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  <w:r w:rsidRPr="00C5183A">
              <w:rPr>
                <w:sz w:val="24"/>
                <w:szCs w:val="24"/>
              </w:rPr>
              <w:t>государственной статистики по Камчатскому краю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  <w:tr w:rsidR="00C5183A" w:rsidRPr="00C5183A" w:rsidTr="0020588C">
        <w:trPr>
          <w:trHeight w:val="26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  <w:r w:rsidRPr="00C5183A">
              <w:rPr>
                <w:sz w:val="20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83A" w:rsidRPr="00C5183A" w:rsidRDefault="00C5183A" w:rsidP="00C5183A">
            <w:pPr>
              <w:rPr>
                <w:sz w:val="20"/>
              </w:rPr>
            </w:pPr>
          </w:p>
        </w:tc>
      </w:tr>
    </w:tbl>
    <w:p w:rsidR="00C5183A" w:rsidRDefault="00C5183A" w:rsidP="001669BC">
      <w:pPr>
        <w:jc w:val="center"/>
        <w:rPr>
          <w:color w:val="000000"/>
          <w:szCs w:val="28"/>
          <w:lang w:bidi="ru-RU"/>
        </w:rPr>
      </w:pPr>
      <w:r w:rsidRPr="00C5183A">
        <w:rPr>
          <w:rFonts w:ascii="Calibri" w:eastAsia="Calibri" w:hAnsi="Calibri"/>
          <w:sz w:val="22"/>
          <w:szCs w:val="22"/>
          <w:lang w:eastAsia="en-US"/>
        </w:rPr>
        <w:t>https://kamstat.gks.ru/storage/mediabank/G1SpfstN/1.29.9_03_2020.htm</w:t>
      </w:r>
      <w:bookmarkStart w:id="0" w:name="_GoBack"/>
      <w:bookmarkEnd w:id="0"/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p w:rsidR="00C5183A" w:rsidRDefault="00C5183A" w:rsidP="001669BC">
      <w:pPr>
        <w:jc w:val="center"/>
        <w:rPr>
          <w:color w:val="000000"/>
          <w:szCs w:val="28"/>
          <w:lang w:bidi="ru-RU"/>
        </w:rPr>
      </w:pPr>
    </w:p>
    <w:sectPr w:rsidR="00C5183A" w:rsidSect="00D21A72"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FF" w:rsidRDefault="00E86FFF">
      <w:r>
        <w:separator/>
      </w:r>
    </w:p>
  </w:endnote>
  <w:endnote w:type="continuationSeparator" w:id="0">
    <w:p w:rsidR="00E86FFF" w:rsidRDefault="00E8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FF" w:rsidRDefault="00E86FFF">
      <w:r>
        <w:separator/>
      </w:r>
    </w:p>
  </w:footnote>
  <w:footnote w:type="continuationSeparator" w:id="0">
    <w:p w:rsidR="00E86FFF" w:rsidRDefault="00E8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771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 w15:restartNumberingAfterBreak="0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732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"/>
  </w:num>
  <w:num w:numId="12">
    <w:abstractNumId w:val="14"/>
  </w:num>
  <w:num w:numId="13">
    <w:abstractNumId w:val="32"/>
  </w:num>
  <w:num w:numId="14">
    <w:abstractNumId w:val="23"/>
  </w:num>
  <w:num w:numId="15">
    <w:abstractNumId w:val="15"/>
  </w:num>
  <w:num w:numId="16">
    <w:abstractNumId w:val="5"/>
  </w:num>
  <w:num w:numId="17">
    <w:abstractNumId w:val="39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6"/>
  </w:num>
  <w:num w:numId="36">
    <w:abstractNumId w:val="40"/>
  </w:num>
  <w:num w:numId="37">
    <w:abstractNumId w:val="33"/>
  </w:num>
  <w:num w:numId="38">
    <w:abstractNumId w:val="9"/>
  </w:num>
  <w:num w:numId="39">
    <w:abstractNumId w:val="28"/>
  </w:num>
  <w:num w:numId="40">
    <w:abstractNumId w:val="13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5FBD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48EE"/>
    <w:rsid w:val="00055C49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6845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F6B"/>
    <w:rsid w:val="00213724"/>
    <w:rsid w:val="00220277"/>
    <w:rsid w:val="002203C2"/>
    <w:rsid w:val="00224FAB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1381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4B50"/>
    <w:rsid w:val="00387135"/>
    <w:rsid w:val="00390597"/>
    <w:rsid w:val="00390DA4"/>
    <w:rsid w:val="003921B0"/>
    <w:rsid w:val="00393216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D5F3A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577B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1CE3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2BA1"/>
    <w:rsid w:val="00677556"/>
    <w:rsid w:val="00680639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49FA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175BD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705"/>
    <w:rsid w:val="009E7F18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1E26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83A"/>
    <w:rsid w:val="00C51B12"/>
    <w:rsid w:val="00C528A9"/>
    <w:rsid w:val="00C52C3D"/>
    <w:rsid w:val="00C52C8E"/>
    <w:rsid w:val="00C55446"/>
    <w:rsid w:val="00C561BD"/>
    <w:rsid w:val="00C6092F"/>
    <w:rsid w:val="00C61025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6D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2BA4"/>
    <w:rsid w:val="00D14EF2"/>
    <w:rsid w:val="00D153CB"/>
    <w:rsid w:val="00D15625"/>
    <w:rsid w:val="00D16A5C"/>
    <w:rsid w:val="00D200AD"/>
    <w:rsid w:val="00D20C91"/>
    <w:rsid w:val="00D21A72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6FF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ED9EC23-02F4-499E-BF28-8F040BC0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55AB-C96F-4445-823E-D1E18FDD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Торговля</cp:lastModifiedBy>
  <cp:revision>58</cp:revision>
  <cp:lastPrinted>2020-11-17T00:16:00Z</cp:lastPrinted>
  <dcterms:created xsi:type="dcterms:W3CDTF">2014-08-08T04:06:00Z</dcterms:created>
  <dcterms:modified xsi:type="dcterms:W3CDTF">2020-11-17T00:19:00Z</dcterms:modified>
</cp:coreProperties>
</file>