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E725B8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44" type="#_x0000_t202" style="position:absolute;margin-left:-80.2pt;margin-top:9.8pt;width:71.2pt;height:4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E62F22" w:rsidRDefault="00E62F22" w:rsidP="006C6C5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6C53" w:rsidRPr="006C6C53" w:rsidRDefault="00BC4CC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E725B8">
        <w:rPr>
          <w:rFonts w:ascii="Times New Roman" w:eastAsia="Times New Roman" w:hAnsi="Times New Roman" w:cs="Times New Roman"/>
          <w:b/>
          <w:sz w:val="28"/>
          <w:szCs w:val="20"/>
        </w:rPr>
        <w:t xml:space="preserve">6 мая 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13822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 w:rsidR="006F43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proofErr w:type="spell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proofErr w:type="spellEnd"/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C6C53"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 </w:t>
      </w:r>
      <w:r w:rsidR="00E725B8">
        <w:rPr>
          <w:rFonts w:ascii="Times New Roman" w:eastAsia="Times New Roman" w:hAnsi="Times New Roman" w:cs="Times New Roman"/>
          <w:b/>
          <w:sz w:val="28"/>
          <w:szCs w:val="20"/>
        </w:rPr>
        <w:t>121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35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построенных</w:t>
      </w:r>
      <w:proofErr w:type="gramEnd"/>
      <w:r w:rsidR="0035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реконструированных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объекта индивидуального жилищного строительства или садового дома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  и технологическими схемами при предоставлении муниципальных услуг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 Д М И Н И С Т Р А Ц И Я   П О С Т А Н О В Л Я ЕТ: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D77D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353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построенных</w:t>
      </w:r>
      <w:proofErr w:type="gramEnd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реконстру</w:t>
      </w:r>
      <w:r w:rsidR="00353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ированных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объекта индивидуального жилищного строительства или садового дома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C1F" w:rsidRPr="006C6C53" w:rsidRDefault="00353C1F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Глава Соболевского муниципального района                                   В.И.Куркин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6C6C53" w:rsidRPr="006C6C53" w:rsidRDefault="0045195D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</w:t>
      </w:r>
      <w:r w:rsidR="00E725B8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 w:rsidR="00E725B8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725B8">
        <w:rPr>
          <w:rFonts w:ascii="Times New Roman" w:eastAsia="Times New Roman" w:hAnsi="Times New Roman" w:cs="Times New Roman"/>
          <w:sz w:val="20"/>
          <w:szCs w:val="20"/>
        </w:rPr>
        <w:t>121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53C1F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353C1F" w:rsidRDefault="00353C1F" w:rsidP="00353C1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Администрацией Соболевского муниципального района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Камчатского края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РЕКОНСТРУ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ДОМА»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eastAsia="Calibri" w:hAnsi="Times New Roman"/>
          <w:i w:val="0"/>
        </w:rPr>
        <w:t>1.1</w:t>
      </w:r>
      <w:r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581463" w:rsidRDefault="00353C1F" w:rsidP="00353C1F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</w:p>
    <w:p w:rsidR="00353C1F" w:rsidRPr="000C788C" w:rsidRDefault="00353C1F" w:rsidP="00581463">
      <w:pPr>
        <w:pStyle w:val="ConsPlusNormal"/>
        <w:widowControl w:val="0"/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Администрацией Соболевского муниципального района Камчатского края в лице </w:t>
      </w:r>
      <w:r w:rsidR="00DE465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Комитета по экономике, ТЭК, ЖКХ и управлению муниципальным имуществом администрации Соболевского муниципального района                                          </w:t>
      </w: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или реконструированных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25B8" w:rsidRDefault="00353C1F" w:rsidP="00E725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E725B8" w:rsidRDefault="00E725B8" w:rsidP="00E725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E725B8" w:rsidRDefault="00E725B8" w:rsidP="00E725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353C1F" w:rsidRPr="00E7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353C1F" w:rsidRPr="000C788C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1.3. Требования к порядку информирования</w:t>
      </w: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</w:t>
      </w:r>
    </w:p>
    <w:p w:rsidR="00353C1F" w:rsidRPr="00581463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8146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353C1F" w:rsidRPr="007607F6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353C1F" w:rsidRPr="00115E28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15E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района </w:t>
      </w:r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.)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353C1F" w:rsidRPr="00D14C67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Pr="007767CD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353C1F" w:rsidRPr="0042379B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Default="00115E28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353C1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proofErr w:type="gramStart"/>
      <w:r w:rsidR="00353C1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53C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53C1F"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Pr="0042379B" w:rsidRDefault="00353C1F" w:rsidP="00353C1F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Pr="0042379B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353C1F" w:rsidRPr="00115E28" w:rsidRDefault="00353C1F" w:rsidP="00115E28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  <w:u w:val="single"/>
        </w:rPr>
      </w:pPr>
      <w:r w:rsidRPr="00115E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Default="00353C1F" w:rsidP="00353C1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Default="00353C1F" w:rsidP="00353C1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с. Соболево, ул.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Советская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, 23, Соболевского района, Камчатского края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C1F" w:rsidRPr="0004562A" w:rsidRDefault="00353C1F" w:rsidP="00353C1F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района  </w:t>
      </w:r>
      <w:r w:rsidR="00115E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</w:t>
      </w:r>
      <w:r w:rsidR="00115E28"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="00115E28"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115E28"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="00115E28"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115E28" w:rsidRPr="00115E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="00115E28" w:rsidRPr="00115E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:rsidR="00353C1F" w:rsidRDefault="00353C1F" w:rsidP="00115E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«Интернет»,</w:t>
      </w:r>
    </w:p>
    <w:p w:rsidR="00353C1F" w:rsidRPr="0004562A" w:rsidRDefault="00353C1F" w:rsidP="00353C1F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2.1.Наименование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7B84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</w:t>
      </w:r>
      <w:proofErr w:type="gramStart"/>
      <w:r w:rsidRPr="00197B84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197B84">
        <w:rPr>
          <w:rFonts w:ascii="Times New Roman" w:hAnsi="Times New Roman" w:cs="Times New Roman"/>
          <w:sz w:val="28"/>
          <w:szCs w:val="28"/>
        </w:rPr>
        <w:t xml:space="preserve"> или реконструированных </w:t>
      </w:r>
      <w:r w:rsidRPr="00197B8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197B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115E28" w:rsidRDefault="00353C1F" w:rsidP="00115E2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Администрацией Соболевского муниципального района, непосредственным исполнителем – </w:t>
      </w:r>
      <w:r w:rsidR="00115E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отделом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="00115E2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Камчатского края осуществляется в порядке, предусмотренном Соглашением о взаимодействии, заключенным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353C1F" w:rsidRPr="00B774C7" w:rsidRDefault="00353C1F" w:rsidP="00B774C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B774C7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</w:p>
    <w:p w:rsidR="00353C1F" w:rsidRPr="000C788C" w:rsidRDefault="00353C1F" w:rsidP="00353C1F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2.3.Результат предоставления муниципальной услуги.</w:t>
      </w:r>
    </w:p>
    <w:p w:rsidR="00353C1F" w:rsidRPr="000C788C" w:rsidRDefault="00353C1F" w:rsidP="00353C1F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353C1F" w:rsidRPr="00352B8D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proofErr w:type="gramStart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353C1F" w:rsidRPr="00CB427D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выдача у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proofErr w:type="gramStart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уведомление о несоответствии).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CB427D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в уполномоченный орган 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53C1F" w:rsidRPr="00A92D4D" w:rsidRDefault="00353C1F" w:rsidP="00353C1F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353C1F" w:rsidRPr="00A92D4D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353C1F" w:rsidRPr="00A92D4D" w:rsidRDefault="00353C1F" w:rsidP="0035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353C1F" w:rsidRPr="00B774C7" w:rsidRDefault="00353C1F" w:rsidP="00B77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</w:pPr>
      <w:r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(</w:t>
      </w:r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www</w:t>
      </w:r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="00B774C7" w:rsidRPr="00B774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</w:p>
    <w:p w:rsidR="00353C1F" w:rsidRDefault="00353C1F" w:rsidP="0035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«Интернет», в Реестре государственных и муниципальных услуг и на ЕГПУ/РПГУ.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6</w:t>
      </w:r>
      <w:r w:rsidRPr="000C788C">
        <w:rPr>
          <w:rFonts w:ascii="Times New Roman" w:hAnsi="Times New Roman"/>
          <w:i w:val="0"/>
        </w:rPr>
        <w:t>.Исчерпывающий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53C1F" w:rsidRPr="00EC5D37" w:rsidRDefault="00353C1F" w:rsidP="00353C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2.6.1. </w:t>
      </w:r>
      <w:r w:rsidRPr="00EC5D37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EC5D37">
        <w:rPr>
          <w:rFonts w:ascii="Times New Roman" w:hAnsi="Times New Roman"/>
          <w:sz w:val="28"/>
          <w:szCs w:val="28"/>
        </w:rPr>
        <w:t>Уведомление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по форме, согласно </w:t>
      </w:r>
      <w:r w:rsidRPr="0076661A">
        <w:rPr>
          <w:rFonts w:ascii="Times New Roman" w:hAnsi="Times New Roman"/>
          <w:sz w:val="28"/>
          <w:szCs w:val="28"/>
        </w:rPr>
        <w:t xml:space="preserve">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0C788C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0C788C">
        <w:rPr>
          <w:rFonts w:ascii="Times New Roman" w:hAnsi="Times New Roman"/>
          <w:sz w:val="28"/>
          <w:szCs w:val="28"/>
        </w:rPr>
        <w:t xml:space="preserve"> 185 Гражданского кодекса Российской Федерации)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3C1F" w:rsidRPr="00297283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4)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5)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со</w:t>
      </w:r>
      <w:proofErr w:type="gramEnd"/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множественностью лиц на стороне арендатора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148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ы, необходимые </w:t>
      </w:r>
      <w:r w:rsidRPr="0018148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353C1F" w:rsidRPr="00EC5D37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</w:t>
      </w:r>
      <w:r w:rsidRPr="000659D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C5D37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 прилагаемых к нему документов через ЕПГУ/РПГУ.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об окончании строительства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Уведомлению об окончании строительства </w:t>
      </w:r>
      <w:r w:rsidRPr="000659DB">
        <w:rPr>
          <w:rFonts w:ascii="Times New Roman" w:hAnsi="Times New Roman" w:cs="Times New Roman"/>
          <w:sz w:val="28"/>
          <w:szCs w:val="28"/>
        </w:rPr>
        <w:t>электронных копий документов.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 xml:space="preserve">/ЕПГУ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.4.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Требования к электронным документам, предоставляемым заявителем для получения услуги.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Уведомлению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788C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ЭП.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C788C">
        <w:rPr>
          <w:rFonts w:ascii="Times New Roman" w:hAnsi="Times New Roman" w:cs="Times New Roman"/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.5.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муниципальных услуг.</w:t>
      </w:r>
    </w:p>
    <w:p w:rsidR="00353C1F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353C1F" w:rsidRPr="009A17D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A17D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7.</w:t>
      </w:r>
      <w:r w:rsidRPr="009A17D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353C1F" w:rsidRPr="000D329C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53C1F" w:rsidRPr="009F163D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. Исчерпывающий перечень оснований для </w:t>
      </w:r>
      <w:r>
        <w:rPr>
          <w:rFonts w:ascii="Times New Roman" w:hAnsi="Times New Roman"/>
          <w:i w:val="0"/>
        </w:rPr>
        <w:t xml:space="preserve">приостановления, </w:t>
      </w:r>
      <w:r w:rsidRPr="00E45B42">
        <w:rPr>
          <w:rFonts w:ascii="Times New Roman" w:hAnsi="Times New Roman"/>
          <w:i w:val="0"/>
        </w:rPr>
        <w:t xml:space="preserve">возврата Уведомления </w:t>
      </w:r>
      <w:r w:rsidRPr="00FF6F32">
        <w:rPr>
          <w:rFonts w:ascii="Times New Roman" w:hAnsi="Times New Roman"/>
          <w:i w:val="0"/>
        </w:rPr>
        <w:t xml:space="preserve">об окончании строительства </w:t>
      </w:r>
      <w:r w:rsidRPr="00E45B42">
        <w:rPr>
          <w:rFonts w:ascii="Times New Roman" w:hAnsi="Times New Roman"/>
          <w:i w:val="0"/>
        </w:rPr>
        <w:t>или направление уведомления о несоответствии</w:t>
      </w:r>
      <w:r>
        <w:rPr>
          <w:rFonts w:ascii="Times New Roman" w:hAnsi="Times New Roman"/>
          <w:i w:val="0"/>
        </w:rPr>
        <w:t>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FF6F3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BF70C5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C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строительства.</w:t>
      </w:r>
    </w:p>
    <w:p w:rsidR="00353C1F" w:rsidRPr="00BF70C5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1F0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Pr="00FF6F3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Pr="00F652F6">
        <w:rPr>
          <w:rFonts w:ascii="Times New Roman" w:hAnsi="Times New Roman" w:cs="Times New Roman"/>
          <w:sz w:val="28"/>
          <w:szCs w:val="28"/>
        </w:rPr>
        <w:t xml:space="preserve">подпунктом 1 пункта 3.3.2 части 3.3 раздела 3 </w:t>
      </w:r>
      <w:r w:rsidRPr="008941F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подпунктами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1F0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8941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63CA6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Pr="00F6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CA6">
        <w:rPr>
          <w:rFonts w:ascii="Times New Roman" w:hAnsi="Times New Roman" w:cs="Times New Roman"/>
          <w:sz w:val="28"/>
          <w:szCs w:val="28"/>
        </w:rPr>
        <w:t xml:space="preserve">реконструкция объекта </w:t>
      </w:r>
      <w:r w:rsidRPr="00F63CA6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CA6">
        <w:rPr>
          <w:rFonts w:ascii="Times New Roman" w:hAnsi="Times New Roman" w:cs="Times New Roman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 xml:space="preserve">уполномоченные на выдачу разрешений на строительство 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возвращает застройщику данное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proofErr w:type="gramEnd"/>
      <w:r w:rsidRPr="008941F0">
        <w:rPr>
          <w:rFonts w:ascii="Times New Roman" w:hAnsi="Times New Roman" w:cs="Times New Roman"/>
          <w:sz w:val="28"/>
          <w:szCs w:val="28"/>
        </w:rPr>
        <w:t xml:space="preserve"> без рассмотрения с указанием причин возврата. В этом случае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считается ненаправленным.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Уведомление о несоответствии направляется в случае:</w:t>
      </w:r>
    </w:p>
    <w:p w:rsidR="00353C1F" w:rsidRPr="00F63CA6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2 пункта 3.3.2 части 3.3 раздела 3 настоящего Административного регламента пре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Градостроительным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Кодексом, другими федеральными законами;</w:t>
      </w:r>
      <w:proofErr w:type="gramEnd"/>
    </w:p>
    <w:p w:rsidR="00353C1F" w:rsidRPr="00F63CA6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такой объект капитального строительства не введен в эксплуатацию.</w:t>
      </w:r>
    </w:p>
    <w:p w:rsidR="00353C1F" w:rsidRPr="00537A8C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53C1F" w:rsidRPr="00AD6174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2.9.1. Подготовка технического плана объекта индивидуального жилищного строительства или садового дома.</w:t>
      </w:r>
    </w:p>
    <w:p w:rsidR="00353C1F" w:rsidRPr="00AD6174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Услуги выполняются за счет средств заявителя по итогам выполнения кадастровых работ, которые проводит кадастровый инженер, являющийся членом саморегулируемой   организации кадастровых инженеров.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при предоставлении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1</w:t>
      </w:r>
      <w:r w:rsidRPr="000C788C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 xml:space="preserve">.Срок и порядок регистрации </w:t>
      </w:r>
      <w:r>
        <w:rPr>
          <w:rFonts w:ascii="Times New Roman" w:hAnsi="Times New Roman"/>
          <w:i w:val="0"/>
        </w:rPr>
        <w:t>Уведомления</w:t>
      </w:r>
      <w:r w:rsidRPr="000C788C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об окончании строительства,</w:t>
      </w:r>
      <w:r w:rsidRPr="000C788C">
        <w:rPr>
          <w:rFonts w:ascii="Times New Roman" w:hAnsi="Times New Roman"/>
          <w:i w:val="0"/>
        </w:rPr>
        <w:t xml:space="preserve"> в том числе в электронной форме.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3</w:t>
      </w:r>
      <w:r w:rsidRPr="000C788C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353C1F" w:rsidRPr="007A75B9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                                    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расположения, график работы, номера справочных телефонов</w:t>
      </w:r>
    </w:p>
    <w:p w:rsidR="00353C1F" w:rsidRDefault="00E62F22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353C1F"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адреса официального сайта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электронной почты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 последовательности административных процедур при предоставлении муниципальной услуги;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образцы и формы документов;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(бездействий) должностных лиц и муниципальных служащих</w:t>
      </w:r>
    </w:p>
    <w:p w:rsidR="00353C1F" w:rsidRPr="000C788C" w:rsidRDefault="00E62F22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Комитета по экономике, ТЭК, ЖКХ и управлению муниципальным имуществом </w:t>
      </w:r>
      <w:r w:rsidR="00353C1F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</w:t>
      </w:r>
    </w:p>
    <w:p w:rsidR="00353C1F" w:rsidRPr="000C788C" w:rsidRDefault="00353C1F" w:rsidP="00353C1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при получении ими муниципальной услуги, а также на территорию </w:t>
      </w:r>
    </w:p>
    <w:p w:rsidR="00353C1F" w:rsidRPr="000C788C" w:rsidRDefault="00353C1F" w:rsidP="00B774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Pr="000C788C" w:rsidRDefault="00353C1F" w:rsidP="00353C1F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</w:p>
    <w:p w:rsidR="00353C1F" w:rsidRPr="00B774C7" w:rsidRDefault="00353C1F" w:rsidP="00B774C7">
      <w:pPr>
        <w:pStyle w:val="ConsPlusNonforma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B774C7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 xml:space="preserve">4 </w:t>
      </w:r>
      <w:r w:rsidRPr="000C788C">
        <w:rPr>
          <w:rFonts w:ascii="Times New Roman" w:hAnsi="Times New Roman"/>
          <w:i w:val="0"/>
        </w:rPr>
        <w:t>Показатели доступности и качества муниципальной услуги.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353C1F" w:rsidRPr="000C788C" w:rsidRDefault="00353C1F" w:rsidP="00353C1F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предоставление возможности подачи </w:t>
      </w:r>
      <w:r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б окончании строительства</w:t>
      </w:r>
      <w:r w:rsidRPr="000C788C">
        <w:rPr>
          <w:color w:val="000000" w:themeColor="text1"/>
          <w:sz w:val="28"/>
          <w:szCs w:val="28"/>
        </w:rPr>
        <w:t xml:space="preserve"> и документов через РПГУ</w:t>
      </w:r>
      <w:r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Pr="008941F0"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</w:t>
      </w:r>
      <w:r w:rsidRPr="00667755">
        <w:rPr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color w:val="000000" w:themeColor="text1"/>
          <w:sz w:val="28"/>
          <w:szCs w:val="28"/>
        </w:rPr>
        <w:t>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);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353C1F" w:rsidRPr="000C788C" w:rsidRDefault="00353C1F" w:rsidP="00353C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порядке и сроках предоставления услуги, с использованием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записи на прием в орган для подачи запроса о предоставлении муниципальной услуги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формирования запроса для подачи </w:t>
      </w:r>
      <w:r w:rsidRPr="005B6779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заявителем на РПГУ/ЕПГУ;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приема и регистрации уполномоченным органом местного самоуправления </w:t>
      </w:r>
      <w:r w:rsidRPr="005B6779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поданных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при наличии технической возможности оценка доступности и качества муниципальной услуги на РПГУ</w:t>
      </w:r>
      <w:r w:rsidRPr="0003260F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353C1F" w:rsidRPr="000C788C" w:rsidRDefault="00353C1F" w:rsidP="00353C1F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взаимодействии, заключенного </w:t>
      </w: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Администрацией Соболевского муниципального района        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Особенности предоставления муниципальной услуги</w:t>
      </w:r>
      <w:r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02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0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</w:t>
      </w:r>
      <w:r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подтвержденной учетной записи, зарегистрированной в ЕСИА;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C1F" w:rsidRPr="000C788C" w:rsidRDefault="00353C1F" w:rsidP="00353C1F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 xml:space="preserve">-отправить электронную форму </w:t>
      </w:r>
      <w:r w:rsidRPr="000124CD">
        <w:rPr>
          <w:rFonts w:ascii="Times New Roman" w:eastAsia="Times New Roman" w:hAnsi="Times New Roman"/>
          <w:sz w:val="28"/>
          <w:szCs w:val="28"/>
        </w:rPr>
        <w:t>Уведомления</w:t>
      </w:r>
      <w:r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042A">
        <w:rPr>
          <w:rFonts w:ascii="Times New Roman" w:eastAsia="Times New Roman" w:hAnsi="Times New Roman"/>
          <w:sz w:val="28"/>
          <w:szCs w:val="28"/>
        </w:rPr>
        <w:t xml:space="preserve">об окончании строительства </w:t>
      </w:r>
      <w:proofErr w:type="gramStart"/>
      <w:r w:rsidRPr="000C788C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353C1F" w:rsidRPr="00E62F22" w:rsidRDefault="00353C1F" w:rsidP="00353C1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E62F22">
        <w:rPr>
          <w:rFonts w:ascii="Times New Roman" w:eastAsia="Times New Roman" w:hAnsi="Times New Roman"/>
          <w:i/>
          <w:sz w:val="28"/>
          <w:szCs w:val="28"/>
          <w:u w:val="single"/>
        </w:rPr>
        <w:t>Администрацию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53C1F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1F" w:rsidRPr="000C788C" w:rsidRDefault="00B774C7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 имущественных и земельных отношений, градостроительства в составе </w:t>
      </w:r>
      <w:r w:rsidR="00353C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353C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r w:rsidR="00353C1F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353C1F" w:rsidRPr="000C788C" w:rsidRDefault="00353C1F" w:rsidP="00353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53C1F" w:rsidRPr="009A17DC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окончании строительства и прилагаемых к нему документов, регистрация Уведомления об окончании строительства и выдача заявителю расписки в получении Уведомления об окончании строительства и документов;</w:t>
      </w:r>
    </w:p>
    <w:p w:rsidR="00353C1F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2) рассмотрение Уведомления об окончании строительства и прилагаемых документов, принятие решения уполномоченным органом о предоставлении муниципальной услуги или о возврате Уведомления об окончании строительства, подготовка результата предоставления муниципальной услуги.</w:t>
      </w:r>
    </w:p>
    <w:p w:rsidR="00353C1F" w:rsidRPr="00E12D34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9A17DC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9A17D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9A17D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353C1F" w:rsidRPr="009A17DC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 w:rsidR="00B774C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353C1F" w:rsidRPr="009A17D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D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9A17DC">
        <w:rPr>
          <w:rFonts w:ascii="Times New Roman" w:hAnsi="Times New Roman" w:cs="Times New Roman"/>
          <w:sz w:val="28"/>
          <w:szCs w:val="28"/>
        </w:rPr>
        <w:t xml:space="preserve"> за прием и регистрацию Уведомления об окончании строительства</w:t>
      </w:r>
      <w:r w:rsidRPr="0001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r w:rsidRPr="009A17DC">
        <w:rPr>
          <w:rFonts w:ascii="Times New Roman" w:hAnsi="Times New Roman" w:cs="Times New Roman"/>
          <w:sz w:val="28"/>
          <w:szCs w:val="28"/>
        </w:rPr>
        <w:t>оформления Уведомления об окончании строительства и комплектность представленных документов (в случае представления их заявителем по собственной инициативе);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lastRenderedPageBreak/>
        <w:t>- обеспечивает внесение соответствующей записи в журнал регистрации с указанием даты приема, номера Уведомления об окончании строительства, сведений о заявителе, иных необходимых сведений в соответствии с порядком делопроизводства, выдает заявителю расписку в получении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</w:t>
      </w:r>
      <w:r w:rsidRPr="000C788C">
        <w:rPr>
          <w:rFonts w:ascii="Times New Roman" w:hAnsi="Times New Roman" w:cs="Times New Roman"/>
          <w:sz w:val="28"/>
          <w:szCs w:val="28"/>
        </w:rPr>
        <w:t xml:space="preserve">, регистрируются в день их поступления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E62F22" w:rsidRDefault="00353C1F" w:rsidP="00E62F22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E62F22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 форме,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в форме электронного документа уполномоченное должностное лицо не позднее рабочего дня, следующего за днем поступления Уведомления об окончании строительства, направляет заявителю сообщение в электронной форме о получении и регистрации Уведомления об окончании строительства.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окончании строительства через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7DC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МФЦ Камчатского края осуществляет: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процедуру приема Уведомления об окончании строительства. Принятое Уведомление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9A17DC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строительства, даты приема, срока оказания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контактов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</w:p>
    <w:p w:rsidR="00B774C7" w:rsidRDefault="00353C1F" w:rsidP="00B774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 порядке, определенном соглашением между уполномоченным МФЦ</w:t>
      </w:r>
      <w:r w:rsidR="00B774C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774C7" w:rsidRDefault="00B774C7" w:rsidP="00B774C7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1F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53C1F" w:rsidRPr="009A17DC" w:rsidRDefault="00353C1F" w:rsidP="00B774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3.2.2. </w:t>
      </w:r>
      <w:r w:rsidRPr="009A17D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об окончании строительства является прием и регистрация Уведомления об окончании строительства и документов.</w:t>
      </w:r>
    </w:p>
    <w:p w:rsidR="00353C1F" w:rsidRDefault="00353C1F" w:rsidP="00CC26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3.2.3. Срок выполнения административной процедуры по приему и регистрации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 – один день.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3.3. Рассмотрение представленных документов и принятие решения о </w:t>
      </w:r>
      <w:r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 построенных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9A17DC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строительства, является поступление </w:t>
      </w:r>
      <w:r w:rsidRPr="009A17DC">
        <w:rPr>
          <w:rFonts w:ascii="Times New Roman" w:hAnsi="Times New Roman" w:cs="Times New Roman"/>
          <w:sz w:val="28"/>
          <w:szCs w:val="28"/>
        </w:rPr>
        <w:lastRenderedPageBreak/>
        <w:t>Уведомления об окончании строительства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</w:p>
    <w:p w:rsidR="00353C1F" w:rsidRPr="000C788C" w:rsidRDefault="00CC262E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353C1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Комитета по экономике, ТЭК, ЖКХ и управлению муниципальным имуществом администрации Соболевского муниципального района 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подготовку документов.</w:t>
      </w:r>
    </w:p>
    <w:p w:rsidR="00353C1F" w:rsidRPr="009A17DC" w:rsidRDefault="00353C1F" w:rsidP="0035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с приложением документов передается уполномоченному должностному лицу для исполнения.</w:t>
      </w:r>
    </w:p>
    <w:p w:rsidR="00353C1F" w:rsidRPr="009A17DC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353C1F" w:rsidRDefault="00353C1F" w:rsidP="00353C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1) проверяет Уведомление об окончании строительства, на содержание в нем следующих сведений:</w:t>
      </w:r>
    </w:p>
    <w:p w:rsidR="00353C1F" w:rsidRPr="008E0536" w:rsidRDefault="00353C1F" w:rsidP="00353C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оплате государственной пошлины за осуществление государственной регистрации прав.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/>
          <w:color w:val="000000" w:themeColor="text1"/>
          <w:sz w:val="28"/>
          <w:szCs w:val="28"/>
        </w:rPr>
        <w:t>Градостроительным к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t>одексом, другими федеральными законами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 случае, если указанные предельные параметры или 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о планируемом строительстве). В случае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>действующим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на дату поступления уведомления об окончании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3C1F" w:rsidRPr="001A116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1A1166">
        <w:rPr>
          <w:rFonts w:ascii="Times New Roman" w:hAnsi="Times New Roman"/>
          <w:color w:val="000000" w:themeColor="text1"/>
          <w:sz w:val="28"/>
          <w:szCs w:val="28"/>
        </w:rPr>
        <w:t xml:space="preserve"> и такой объект капитального строительства не введен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3.3.3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proofErr w:type="gramEnd"/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353C1F" w:rsidRPr="00DD6960" w:rsidRDefault="00CC262E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353C1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proofErr w:type="gramStart"/>
      <w:r w:rsidR="00353C1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53C1F" w:rsidRPr="00DD6960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</w:p>
    <w:p w:rsidR="00353C1F" w:rsidRPr="00DD6960" w:rsidRDefault="00353C1F" w:rsidP="00353C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Pr="009A17DC">
        <w:rPr>
          <w:rFonts w:ascii="Times New Roman" w:hAnsi="Times New Roman"/>
          <w:color w:val="000000" w:themeColor="text1"/>
          <w:sz w:val="28"/>
          <w:szCs w:val="28"/>
        </w:rPr>
        <w:t>Уведомления об окончании строительства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и прилагаемых к нему документов, подготавливает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направляет</w:t>
      </w:r>
      <w:proofErr w:type="gramEnd"/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 xml:space="preserve">Главе Соболевского муниципального района                                   </w:t>
      </w:r>
      <w:r w:rsidRPr="00A2333E">
        <w:rPr>
          <w:rFonts w:ascii="Times New Roman" w:hAnsi="Times New Roman"/>
          <w:bCs/>
          <w:color w:val="000000" w:themeColor="text1"/>
          <w:sz w:val="28"/>
          <w:szCs w:val="28"/>
        </w:rPr>
        <w:t>__________:</w:t>
      </w: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16"/>
          <w:szCs w:val="16"/>
        </w:rPr>
      </w:pP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соответствии;</w:t>
      </w: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соответствии или о несоответствии </w:t>
      </w: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форме, согласно приложени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№ 3 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является подписание  </w:t>
      </w:r>
    </w:p>
    <w:p w:rsidR="00353C1F" w:rsidRPr="00C713A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713A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Главой Соболевского муниципального района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соответствии или о несоответствии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62E" w:rsidRDefault="00CC262E" w:rsidP="00353C1F">
      <w:pPr>
        <w:pStyle w:val="ConsPlusNormal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53C1F" w:rsidRPr="001818BC" w:rsidRDefault="00CC262E" w:rsidP="00353C1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 имущественных и земельных отношений, градостроительства в составе </w:t>
      </w:r>
      <w:r w:rsidR="00353C1F"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</w:t>
      </w:r>
      <w:r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353C1F"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экономике, ТЭК, ЖКХ и управлению муниципальным</w:t>
      </w:r>
      <w:r w:rsidR="00353C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имуществом администрации Соболевского муниципального района</w:t>
      </w: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семи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</w:t>
      </w:r>
      <w:r w:rsidRPr="00195DC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Pr="00E94515" w:rsidRDefault="00353C1F" w:rsidP="00353C1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орган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Pr="001818B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Pr="00197D90">
        <w:rPr>
          <w:rFonts w:ascii="Times New Roman" w:hAnsi="Times New Roman" w:cs="Times New Roman"/>
          <w:sz w:val="28"/>
          <w:szCs w:val="28"/>
        </w:rPr>
        <w:t>1 пункта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7D9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Pr="001818BC" w:rsidRDefault="00353C1F" w:rsidP="00353C1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 должностным лицом </w:t>
      </w:r>
    </w:p>
    <w:p w:rsidR="00353C1F" w:rsidRPr="00C713A2" w:rsidRDefault="00CC262E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353C1F" w:rsidRPr="00CC262E"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</w:t>
      </w:r>
      <w:r w:rsidR="00353C1F">
        <w:rPr>
          <w:rFonts w:ascii="Times New Roman" w:hAnsi="Times New Roman" w:cs="Times New Roman"/>
          <w:i/>
          <w:sz w:val="28"/>
          <w:szCs w:val="28"/>
        </w:rPr>
        <w:t xml:space="preserve"> имуществом администрации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Theme="minorHAnsi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 электронной форме в личный кабинет заявителя (при направлении заявления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353C1F" w:rsidRPr="000C788C" w:rsidRDefault="00CC262E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 xml:space="preserve">Отдела имущественных и земельных отношений, градостроительства в составе </w:t>
      </w:r>
      <w:r w:rsidR="00353C1F"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r w:rsidR="00353C1F" w:rsidRPr="000C788C">
        <w:rPr>
          <w:rFonts w:ascii="Times New Roman" w:hAnsi="Times New Roman" w:cs="Times New Roman"/>
          <w:sz w:val="28"/>
          <w:szCs w:val="28"/>
        </w:rPr>
        <w:t>________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353C1F" w:rsidRPr="000C788C" w:rsidRDefault="00353C1F" w:rsidP="00353C1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 4. Выдача </w:t>
      </w:r>
      <w:r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353C1F" w:rsidRPr="003D7693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353C1F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353C1F" w:rsidRPr="000C788C" w:rsidRDefault="00353C1F" w:rsidP="00353C1F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заявления в уполномоченный МФЦ);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E7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5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</w:t>
      </w:r>
      <w:r w:rsidR="00E725B8" w:rsidRPr="00E725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E7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53C1F" w:rsidRPr="00E969BC" w:rsidRDefault="00CC262E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353C1F" w:rsidRPr="00CC262E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Pr="00CC262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53C1F" w:rsidRPr="00CC262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</w:t>
      </w:r>
      <w:r w:rsidR="00353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C1F" w:rsidRPr="0069051D">
        <w:rPr>
          <w:rFonts w:ascii="Times New Roman" w:hAnsi="Times New Roman" w:cs="Times New Roman"/>
          <w:i/>
          <w:sz w:val="28"/>
          <w:szCs w:val="28"/>
          <w:u w:val="single"/>
        </w:rPr>
        <w:t>имуществом администрации Соболевского муниципального района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353C1F" w:rsidRPr="00E94515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для получения уведомления о соответствии или о несоответствии документы хранятся </w:t>
      </w:r>
      <w:proofErr w:type="gramStart"/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Pr="00E969BC" w:rsidRDefault="00CC262E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353C1F" w:rsidRPr="00CC262E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Pr="00CC262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53C1F" w:rsidRPr="00CC262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</w:t>
      </w:r>
      <w:r w:rsidR="00353C1F">
        <w:rPr>
          <w:rFonts w:ascii="Times New Roman" w:hAnsi="Times New Roman" w:cs="Times New Roman"/>
          <w:i/>
          <w:sz w:val="28"/>
          <w:szCs w:val="28"/>
        </w:rPr>
        <w:t xml:space="preserve"> имуществом администрации Соболевского муниципального района</w:t>
      </w:r>
    </w:p>
    <w:p w:rsidR="00353C1F" w:rsidRPr="00197D90" w:rsidRDefault="00353C1F" w:rsidP="00353C1F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197D90" w:rsidRDefault="00353C1F" w:rsidP="00353C1F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в течение </w:t>
      </w:r>
      <w:r>
        <w:rPr>
          <w:i/>
          <w:color w:val="000000" w:themeColor="text1"/>
          <w:sz w:val="28"/>
          <w:szCs w:val="28"/>
          <w:u w:val="single"/>
        </w:rPr>
        <w:t>одного года</w:t>
      </w:r>
      <w:r w:rsidRPr="00197D90">
        <w:rPr>
          <w:color w:val="000000" w:themeColor="text1"/>
          <w:sz w:val="28"/>
          <w:szCs w:val="28"/>
        </w:rPr>
        <w:t>.</w:t>
      </w:r>
    </w:p>
    <w:p w:rsidR="00353C1F" w:rsidRPr="00197D90" w:rsidRDefault="00353C1F" w:rsidP="00353C1F">
      <w:pPr>
        <w:pStyle w:val="7"/>
        <w:shd w:val="clear" w:color="auto" w:fill="auto"/>
        <w:spacing w:before="0" w:line="240" w:lineRule="auto"/>
        <w:jc w:val="both"/>
        <w:rPr>
          <w:i/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                     </w:t>
      </w:r>
      <w:r w:rsidRPr="00197D90">
        <w:rPr>
          <w:i/>
          <w:color w:val="000000" w:themeColor="text1"/>
          <w:sz w:val="28"/>
          <w:szCs w:val="28"/>
        </w:rPr>
        <w:t xml:space="preserve"> </w:t>
      </w:r>
      <w:r w:rsidRPr="00197D90">
        <w:rPr>
          <w:i/>
          <w:color w:val="000000" w:themeColor="text1"/>
          <w:sz w:val="16"/>
          <w:szCs w:val="16"/>
        </w:rPr>
        <w:t>(указать срок)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об окончании строительства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</w:t>
      </w:r>
      <w:r w:rsidRPr="00D96FF5">
        <w:rPr>
          <w:color w:val="000000" w:themeColor="text1"/>
          <w:sz w:val="28"/>
          <w:szCs w:val="28"/>
        </w:rPr>
        <w:t>подготовленного уведомления о соответствии или о несоответствии.</w:t>
      </w:r>
    </w:p>
    <w:p w:rsidR="00353C1F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53C1F" w:rsidRPr="006E2F41" w:rsidRDefault="00CC262E" w:rsidP="00353C1F">
      <w:pPr>
        <w:pStyle w:val="aff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353C1F"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</w:t>
      </w:r>
      <w:r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353C1F" w:rsidRPr="00CC26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экономике, ТЭК, ЖКХ и управлению муниципальным</w:t>
      </w:r>
      <w:r w:rsidR="00353C1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53C1F" w:rsidRPr="0069051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имуществом администрации Соболевского муниципального района</w:t>
      </w:r>
      <w:r w:rsidR="00353C1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353C1F" w:rsidRDefault="00353C1F" w:rsidP="00353C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8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1F" w:rsidRDefault="00353C1F" w:rsidP="00353C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353C1F" w:rsidRPr="00DB0F86" w:rsidRDefault="00353C1F" w:rsidP="00353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2856C4">
        <w:rPr>
          <w:rFonts w:ascii="Times New Roman" w:hAnsi="Times New Roman" w:cs="Times New Roman"/>
          <w:sz w:val="28"/>
          <w:szCs w:val="28"/>
        </w:rPr>
        <w:t>Запрос документ</w:t>
      </w:r>
      <w:r>
        <w:rPr>
          <w:rFonts w:ascii="Times New Roman" w:hAnsi="Times New Roman" w:cs="Times New Roman"/>
          <w:sz w:val="28"/>
          <w:szCs w:val="28"/>
        </w:rPr>
        <w:t>ов через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законодательством не предусмотрен.</w:t>
      </w: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предоставляется возможность записи в любые свободные для приема дату и время в пределах установленного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CC262E" w:rsidRDefault="00353C1F" w:rsidP="00CC262E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CC2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Администрации Соболевского муниципального района</w:t>
      </w:r>
    </w:p>
    <w:p w:rsidR="00353C1F" w:rsidRPr="000C788C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Администрация Соболевского муниципального района </w:t>
      </w:r>
    </w:p>
    <w:p w:rsidR="00353C1F" w:rsidRPr="000C788C" w:rsidRDefault="00353C1F" w:rsidP="00353C1F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Pr="00D96FF5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посредством заполнения его электронной формы на РПГУ/ЕПГУ, без необходимости дополнительной подачи в какой-либо иной форме.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На РПГУ/ЕПГУ размещаются образец заполнения электронной формы Уведомления об окончании строительства.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 строительства  осуществляется автоматически после заполнения заявителем каждого из полей электронной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>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При формировании Уведомления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1) возможность копирования и сохранения Уведомления и иных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одпу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нктах </w:t>
      </w:r>
      <w:r>
        <w:rPr>
          <w:rFonts w:ascii="Times New Roman" w:hAnsi="Times New Roman" w:cs="Times New Roman"/>
          <w:sz w:val="28"/>
          <w:szCs w:val="28"/>
        </w:rPr>
        <w:t xml:space="preserve">2–5 пункта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части 2.6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Pr="00D96FF5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до начала ввода сведений заяв</w:t>
      </w:r>
      <w:r w:rsidRPr="00D901F1">
        <w:rPr>
          <w:rFonts w:ascii="Times New Roman" w:hAnsi="Times New Roman" w:cs="Times New Roman"/>
          <w:sz w:val="28"/>
          <w:szCs w:val="28"/>
        </w:rPr>
        <w:t xml:space="preserve">ителем с использованием сведений, размещенных в федеральной системе ЕСИА и сведений,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опубликованных на РПГУ/ЕПГУ, в части, касающейся сведений, отсутствующих в ЕСИА;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Уведомления без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РПГУ/ЕПГУ к ранее поданным им уведомлениям в течение не менее одного года, а также частично сформированных запросов – в течение не менее 3 месяцев.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Pr="00D96FF5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 иные документы, указанные в</w:t>
      </w:r>
      <w:r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63AE6">
        <w:rPr>
          <w:rFonts w:ascii="Times New Roman" w:hAnsi="Times New Roman" w:cs="Times New Roman"/>
          <w:sz w:val="28"/>
          <w:szCs w:val="28"/>
        </w:rPr>
        <w:t>подпунктах 2–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AE6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AE6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муниципальной услуги, направляется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1F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D901F1">
        <w:rPr>
          <w:rFonts w:ascii="Times New Roman" w:hAnsi="Times New Roman" w:cs="Times New Roman"/>
          <w:sz w:val="20"/>
          <w:szCs w:val="20"/>
        </w:rPr>
        <w:t>,</w:t>
      </w:r>
    </w:p>
    <w:p w:rsidR="00353C1F" w:rsidRPr="00D901F1" w:rsidRDefault="00353C1F" w:rsidP="00353C1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РПГУ/ЕПГУ.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CC262E" w:rsidRDefault="00353C1F" w:rsidP="00CC262E">
      <w:pPr>
        <w:pStyle w:val="ConsPlusNormal"/>
        <w:ind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C262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  <w:r w:rsidRPr="00CC262E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 xml:space="preserve"> </w:t>
      </w:r>
    </w:p>
    <w:p w:rsidR="00353C1F" w:rsidRPr="00D901F1" w:rsidRDefault="00353C1F" w:rsidP="00353C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353C1F" w:rsidRPr="00D901F1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Администрация Соболевского муниципального района 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Срок регистрации  заявления составляет 1 рабочий день.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Прием и регистрация Уведомления об окончании строительства</w:t>
      </w:r>
      <w:r w:rsidRPr="00D63AE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лицом,</w:t>
      </w:r>
    </w:p>
    <w:p w:rsidR="00353C1F" w:rsidRPr="0059797D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9E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Уведомление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направляется уполномоченным лицом, ответственным за прием и регистрацию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</w:t>
      </w:r>
      <w:r w:rsidRPr="00A651C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лицу, ответственному за предоставление муниципальной услуги.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принятия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, уполномоченным должностным лицом, ответственным за предоставление муниципальной услуги, статус Уведомления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заявителя в личном кабинете на РПГУ/ЕПГУ обновляется до статуса «принято».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01F1">
        <w:rPr>
          <w:rFonts w:ascii="Times New Roman" w:hAnsi="Times New Roman" w:cs="Times New Roman"/>
          <w:sz w:val="28"/>
          <w:szCs w:val="28"/>
        </w:rPr>
        <w:t>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1F1">
        <w:rPr>
          <w:rFonts w:ascii="Times New Roman" w:hAnsi="Times New Roman" w:cs="Times New Roman"/>
          <w:sz w:val="28"/>
          <w:szCs w:val="28"/>
        </w:rPr>
        <w:t xml:space="preserve">) уведомление о соответствии или о несоответствии на бумажном носителе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D901F1" w:rsidRDefault="00F349EE" w:rsidP="00F349EE">
      <w:pPr>
        <w:pStyle w:val="ConsPlusNormal"/>
        <w:ind w:firstLine="0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353C1F" w:rsidRPr="00F349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</w:t>
      </w:r>
      <w:r w:rsidRPr="00F349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353C1F" w:rsidRPr="00F349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</w:t>
      </w:r>
      <w:r w:rsidR="00353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3C1F" w:rsidRPr="00F349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имуществом администрации Соболевского муниципального района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.5. Получение сведений о ходе выполнения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353C1F" w:rsidRPr="002B0FB4" w:rsidRDefault="00353C1F" w:rsidP="00353C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FB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записи на прием;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1F1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начале процедуры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возможности получить результат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.6. Осуществление оценки качества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0" w:history="1">
        <w:r w:rsidRPr="00D90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90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государственных внебюджетных фондов (их региональных отделений) с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353C1F" w:rsidRPr="000C788C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</w:t>
      </w:r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</w:t>
      </w:r>
    </w:p>
    <w:p w:rsidR="00353C1F" w:rsidRPr="000C788C" w:rsidRDefault="00353C1F" w:rsidP="00353C1F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</w:p>
    <w:p w:rsidR="00353C1F" w:rsidRPr="00F349EE" w:rsidRDefault="00353C1F" w:rsidP="00353C1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49EE">
        <w:rPr>
          <w:rFonts w:ascii="Times New Roman" w:hAnsi="Times New Roman" w:cs="Times New Roman"/>
          <w:i/>
          <w:sz w:val="28"/>
          <w:szCs w:val="28"/>
          <w:u w:val="single"/>
        </w:rPr>
        <w:t>Главы Соболевского муниципального района</w:t>
      </w:r>
    </w:p>
    <w:p w:rsidR="00353C1F" w:rsidRPr="000C788C" w:rsidRDefault="00353C1F" w:rsidP="00353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4.3.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0C788C" w:rsidRDefault="00353C1F" w:rsidP="00353C1F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353C1F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69051D" w:rsidRPr="000C788C" w:rsidRDefault="0069051D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1079E9" w:rsidRDefault="00353C1F" w:rsidP="00353C1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3C1F" w:rsidRPr="00D067A7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  <w:proofErr w:type="gramEnd"/>
    </w:p>
    <w:p w:rsidR="00353C1F" w:rsidRPr="00103CB4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353C1F" w:rsidRDefault="00353C1F" w:rsidP="00353C1F">
      <w:pPr>
        <w:pStyle w:val="ae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53C1F" w:rsidRPr="009A059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9A059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353C1F" w:rsidRDefault="00353C1F" w:rsidP="00353C1F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lastRenderedPageBreak/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53C1F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D4D4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EE0D49" w:rsidRDefault="00353C1F" w:rsidP="00353C1F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353C1F" w:rsidRPr="002B0FB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FB4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B0FB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EE0D49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53C1F" w:rsidRPr="009D4BFA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</w:t>
      </w:r>
      <w:proofErr w:type="gramEnd"/>
      <w:r w:rsidRPr="00EE0D4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F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D4BFA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Default="00353C1F" w:rsidP="00353C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3A1">
        <w:rPr>
          <w:rFonts w:ascii="Times New Roman" w:hAnsi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1F" w:rsidRPr="00A4273A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F57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>: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353C1F" w:rsidRPr="0069051D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  <w:r w:rsidR="0069051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9051D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69051D" w:rsidRPr="0069051D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69051D">
        <w:rPr>
          <w:rFonts w:ascii="Times New Roman" w:hAnsi="Times New Roman" w:cs="Times New Roman"/>
          <w:i/>
          <w:sz w:val="28"/>
          <w:szCs w:val="28"/>
          <w:lang w:val="en-US"/>
        </w:rPr>
        <w:t>sobolevo</w:t>
      </w:r>
      <w:proofErr w:type="spellEnd"/>
      <w:r w:rsidR="0069051D" w:rsidRPr="0069051D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69051D">
        <w:rPr>
          <w:rFonts w:ascii="Times New Roman" w:hAnsi="Times New Roman" w:cs="Times New Roman"/>
          <w:i/>
          <w:sz w:val="28"/>
          <w:szCs w:val="28"/>
          <w:lang w:val="en-US"/>
        </w:rPr>
        <w:t>mr</w:t>
      </w:r>
      <w:proofErr w:type="spellEnd"/>
      <w:r w:rsidR="0069051D" w:rsidRPr="0069051D">
        <w:rPr>
          <w:rFonts w:ascii="Times New Roman" w:hAnsi="Times New Roman" w:cs="Times New Roman"/>
          <w:i/>
          <w:sz w:val="28"/>
          <w:szCs w:val="28"/>
        </w:rPr>
        <w:t>)</w:t>
      </w:r>
    </w:p>
    <w:p w:rsidR="00353C1F" w:rsidRPr="009D4BFA" w:rsidRDefault="00353C1F" w:rsidP="00353C1F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3C1F" w:rsidRPr="009D4BFA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53C1F" w:rsidRPr="009C76FA" w:rsidRDefault="00353C1F" w:rsidP="0069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9051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</w:p>
    <w:p w:rsidR="00353C1F" w:rsidRPr="0065412B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</w:t>
      </w:r>
      <w:r w:rsidRPr="0065412B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Соболевского муниципального района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69051D" w:rsidRPr="0069051D" w:rsidRDefault="00353C1F" w:rsidP="0069051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051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</w:p>
    <w:p w:rsidR="00353C1F" w:rsidRPr="0065412B" w:rsidRDefault="00353C1F" w:rsidP="00690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заключивш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6541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353C1F" w:rsidRPr="009C76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proofErr w:type="gramStart"/>
      <w:r w:rsidRPr="009C7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8F352C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9C76FA" w:rsidRDefault="00353C1F" w:rsidP="00353C1F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)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9"/>
      <w:bookmarkEnd w:id="1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656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65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53C1F" w:rsidRPr="008013A1" w:rsidRDefault="0069051D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C1F" w:rsidRPr="008013A1">
        <w:rPr>
          <w:rFonts w:ascii="Times New Roman" w:hAnsi="Times New Roman" w:cs="Times New Roman"/>
          <w:sz w:val="28"/>
          <w:szCs w:val="28"/>
        </w:rPr>
        <w:t xml:space="preserve">одлежит обязательной регистрации в журнале учета жалоб на решения и действия (бездействие) </w:t>
      </w:r>
      <w:r w:rsidR="00353C1F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53C1F"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 w:rsidR="00353C1F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="00353C1F"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Ведение Журнала осуществляется по ф</w:t>
      </w:r>
      <w:r>
        <w:rPr>
          <w:rFonts w:ascii="Times New Roman" w:hAnsi="Times New Roman" w:cs="Times New Roman"/>
          <w:sz w:val="28"/>
          <w:szCs w:val="28"/>
        </w:rPr>
        <w:t xml:space="preserve">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7BAB">
        <w:rPr>
          <w:rFonts w:ascii="Times New Roman" w:hAnsi="Times New Roman" w:cs="Times New Roman"/>
          <w:sz w:val="28"/>
          <w:szCs w:val="28"/>
        </w:rPr>
        <w:t>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Pr="009C76FA" w:rsidRDefault="00353C1F" w:rsidP="00353C1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353C1F" w:rsidRPr="009C76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353C1F" w:rsidRPr="00DE4656" w:rsidRDefault="00353C1F" w:rsidP="00DE465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E465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</w:t>
      </w:r>
      <w:r w:rsidRPr="00166252"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53C1F" w:rsidRPr="00B75F66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353C1F" w:rsidRPr="00DE4656" w:rsidRDefault="00353C1F" w:rsidP="00DE465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E465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Pr="0016625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</w:t>
      </w:r>
      <w:r w:rsidRPr="00EC5D37">
        <w:rPr>
          <w:rFonts w:ascii="Times New Roman" w:hAnsi="Times New Roman" w:cs="Times New Roman"/>
          <w:sz w:val="28"/>
          <w:szCs w:val="28"/>
        </w:rPr>
        <w:t>почтовый адрес заявителя;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5.18. Уполномоченный на рассмотрение жалобы </w:t>
      </w:r>
    </w:p>
    <w:p w:rsidR="00353C1F" w:rsidRPr="00DE4656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465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Pr="0016625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353C1F" w:rsidRPr="00E52313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C1F" w:rsidRPr="00795E0E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353C1F" w:rsidRPr="009D4B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353C1F" w:rsidRPr="009D4B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1D" w:rsidRPr="000C788C" w:rsidRDefault="0069051D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</w:rPr>
      </w:pPr>
      <w:r w:rsidRPr="00E725B8">
        <w:rPr>
          <w:rFonts w:ascii="Times New Roman" w:hAnsi="Times New Roman"/>
        </w:rPr>
        <w:lastRenderedPageBreak/>
        <w:t>Приложение №1</w:t>
      </w: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725B8">
        <w:rPr>
          <w:rFonts w:ascii="Times New Roman" w:hAnsi="Times New Roman"/>
          <w:bCs/>
        </w:rPr>
        <w:t xml:space="preserve">                                                                                            к Административному регламенту</w:t>
      </w: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725B8">
        <w:rPr>
          <w:rFonts w:ascii="Times New Roman" w:hAnsi="Times New Roman"/>
          <w:bCs/>
        </w:rPr>
        <w:t>по предоставлению муниципальной услуги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>«Выдача уведомления о соответствии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построенных или реконструируемых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объекта индивидуального жилищного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строительства или садового дома»</w:t>
      </w:r>
    </w:p>
    <w:p w:rsidR="00353C1F" w:rsidRPr="00E725B8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3" w:name="P34"/>
      <w:bookmarkEnd w:id="3"/>
    </w:p>
    <w:p w:rsidR="00353C1F" w:rsidRPr="00CB392E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Администрация Соболевского муниципального района</w:t>
      </w: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353C1F" w:rsidRPr="00543221" w:rsidRDefault="00353C1F" w:rsidP="00353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353C1F" w:rsidRPr="00543221" w:rsidRDefault="00353C1F" w:rsidP="00353C1F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  <w:tcBorders>
              <w:bottom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581463">
        <w:tc>
          <w:tcPr>
            <w:tcW w:w="696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353C1F" w:rsidRPr="00543221" w:rsidRDefault="00353C1F" w:rsidP="00353C1F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3. Сведения об объекте капитального строительства</w:t>
      </w: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353C1F" w:rsidRPr="00543221" w:rsidTr="0058146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виде разрешенного использования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  <w:tcBorders>
              <w:top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581463">
        <w:tc>
          <w:tcPr>
            <w:tcW w:w="709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353C1F" w:rsidRPr="00543221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3C1F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Схематичное изображение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6"/>
        </w:rPr>
        <w:t>построенного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 или реконстру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ированного</w:t>
      </w: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объекта капитального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на земельном участке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4"/>
      </w:tblGrid>
      <w:tr w:rsidR="00353C1F" w:rsidRPr="00543221" w:rsidTr="00581463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5814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581463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5814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581463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5814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581463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5814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581463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1F" w:rsidRPr="00543221" w:rsidRDefault="00353C1F" w:rsidP="005814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353C1F" w:rsidRDefault="00353C1F" w:rsidP="00353C1F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соответствии </w:t>
      </w:r>
      <w:proofErr w:type="gramStart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</w:t>
      </w:r>
      <w:proofErr w:type="gramEnd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реконструированных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 дома требованиям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 градостроительной деятельности либо о несоответствии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 или реконструированных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садового дома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градостроительной деятельности прошу направить следующим способо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53C1F" w:rsidRPr="00F3624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F36248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353C1F" w:rsidRPr="00F36248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53C1F" w:rsidRPr="00102EC0" w:rsidTr="0058146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Настоящим уведомлением подтверждаю, что</w:t>
            </w:r>
            <w:r w:rsidRPr="00102EC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53C1F" w:rsidRPr="00102EC0" w:rsidTr="0058146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 xml:space="preserve">не  </w:t>
      </w:r>
      <w:proofErr w:type="gramStart"/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 xml:space="preserve">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353C1F" w:rsidRPr="00102EC0" w:rsidTr="0058146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02EC0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353C1F" w:rsidRPr="00102EC0" w:rsidTr="0058146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53C1F" w:rsidRPr="00102EC0" w:rsidTr="0058146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02EC0">
              <w:rPr>
                <w:b/>
                <w:i/>
                <w:sz w:val="24"/>
                <w:szCs w:val="24"/>
              </w:rPr>
              <w:t xml:space="preserve">                                </w:t>
            </w:r>
            <w:proofErr w:type="gramStart"/>
            <w:r w:rsidRPr="00102EC0">
              <w:rPr>
                <w:i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на обработку персональных данных (в случае если застройщиком </w:t>
      </w: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является физическое лицо).</w:t>
      </w:r>
    </w:p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43"/>
        <w:gridCol w:w="1007"/>
        <w:gridCol w:w="1930"/>
        <w:gridCol w:w="891"/>
        <w:gridCol w:w="2799"/>
      </w:tblGrid>
      <w:tr w:rsidR="00353C1F" w:rsidRPr="00102EC0" w:rsidTr="00581463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53C1F" w:rsidRPr="00102EC0" w:rsidTr="00581463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proofErr w:type="gramStart"/>
            <w:r w:rsidRPr="00102EC0">
              <w:rPr>
                <w:i/>
                <w:sz w:val="16"/>
                <w:szCs w:val="16"/>
              </w:rPr>
              <w:t>(должность уполномоченного лица</w:t>
            </w:r>
            <w:proofErr w:type="gramEnd"/>
          </w:p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58146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353C1F" w:rsidRPr="001F13F9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53C1F" w:rsidRPr="001F13F9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1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3) 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технический план объекта индивидуального жилищного строительства или садового дома;</w:t>
      </w:r>
    </w:p>
    <w:p w:rsidR="00353C1F" w:rsidRPr="00DB2B92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4)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</w:t>
      </w:r>
      <w:proofErr w:type="gramEnd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множественностью лиц на стороне арендатора.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353C1F" w:rsidRPr="001F13F9" w:rsidTr="00581463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051D" w:rsidRDefault="0069051D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051D" w:rsidRDefault="0069051D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051D" w:rsidRDefault="0069051D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051D" w:rsidRDefault="0069051D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051D" w:rsidRDefault="0069051D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5B8" w:rsidRDefault="00E725B8" w:rsidP="0058146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E725B8">
            <w:pPr>
              <w:pStyle w:val="1"/>
              <w:spacing w:before="0" w:after="0"/>
              <w:rPr>
                <w:rFonts w:ascii="Times New Roman" w:hAnsi="Times New Roman"/>
                <w:color w:val="000000" w:themeColor="text1"/>
              </w:rPr>
            </w:pPr>
          </w:p>
          <w:p w:rsidR="00E725B8" w:rsidRDefault="00E725B8" w:rsidP="00E725B8">
            <w:pPr>
              <w:pStyle w:val="1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  <w:p w:rsidR="00353C1F" w:rsidRPr="00E725B8" w:rsidRDefault="00E725B8" w:rsidP="00E725B8">
            <w:pPr>
              <w:pStyle w:val="1"/>
              <w:spacing w:before="0" w:after="0"/>
              <w:rPr>
                <w:rFonts w:ascii="Times New Roman" w:hAnsi="Times New Roma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353C1F" w:rsidRPr="00E725B8">
              <w:rPr>
                <w:rFonts w:ascii="Times New Roman" w:hAnsi="Times New Roman"/>
              </w:rPr>
              <w:t>Приложение №2</w:t>
            </w:r>
          </w:p>
          <w:p w:rsidR="00353C1F" w:rsidRPr="00E725B8" w:rsidRDefault="00353C1F" w:rsidP="0058146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</w:rPr>
            </w:pPr>
            <w:r w:rsidRPr="00E725B8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к Административному регламенту</w:t>
            </w:r>
          </w:p>
          <w:p w:rsidR="00353C1F" w:rsidRPr="00E725B8" w:rsidRDefault="00353C1F" w:rsidP="0058146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</w:rPr>
            </w:pPr>
            <w:r w:rsidRPr="00E725B8">
              <w:rPr>
                <w:rFonts w:ascii="Times New Roman" w:hAnsi="Times New Roman"/>
                <w:bCs/>
              </w:rPr>
              <w:t>по предоставлению муниципальной услуги</w:t>
            </w:r>
          </w:p>
          <w:p w:rsidR="00353C1F" w:rsidRPr="00E725B8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«Выдача уведомления о соответствии</w:t>
            </w:r>
          </w:p>
          <w:p w:rsidR="00353C1F" w:rsidRPr="00E725B8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построенных или реконструируемых</w:t>
            </w:r>
          </w:p>
          <w:p w:rsidR="00353C1F" w:rsidRPr="00E725B8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объекта индивидуального жилищного</w:t>
            </w:r>
          </w:p>
          <w:p w:rsidR="00353C1F" w:rsidRPr="00D013A6" w:rsidRDefault="00353C1F" w:rsidP="0058146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  <w:r w:rsidRPr="00E72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строительства или садового дома»</w:t>
            </w:r>
          </w:p>
          <w:p w:rsidR="00353C1F" w:rsidRPr="00CB392E" w:rsidRDefault="00353C1F" w:rsidP="00581463">
            <w:pPr>
              <w:spacing w:before="100" w:beforeAutospacing="1" w:after="100" w:afterAutospacing="1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392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</w:tbl>
    <w:p w:rsidR="00353C1F" w:rsidRPr="00C74D2D" w:rsidRDefault="00353C1F" w:rsidP="00353C1F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3C1F" w:rsidRDefault="00353C1F" w:rsidP="00353C1F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353C1F" w:rsidTr="005814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53C1F" w:rsidTr="005814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53C1F" w:rsidTr="005814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53C1F" w:rsidTr="005814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DB2B92" w:rsidRDefault="00353C1F" w:rsidP="00353C1F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B2B92">
        <w:rPr>
          <w:rFonts w:ascii="Times New Roman" w:eastAsia="Calibri" w:hAnsi="Times New Roman"/>
          <w:lang w:eastAsia="en-US"/>
        </w:rPr>
        <w:t xml:space="preserve">    </w:t>
      </w: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DB2B92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уведомление),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уведомляет о соответствии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DB2B92">
        <w:rPr>
          <w:rFonts w:ascii="Times New Roman" w:hAnsi="Times New Roman" w:cs="Times New Roman"/>
          <w:i/>
          <w:sz w:val="16"/>
          <w:szCs w:val="16"/>
        </w:rPr>
        <w:t>(построенного или реконструированного)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_,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(объекта индивидуального жилищного строительства или садового дома)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  уведомлении   и   расположенного   на   земельном  участке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353C1F" w:rsidRPr="001F13F9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3C1F" w:rsidRPr="001F13F9" w:rsidSect="00581463">
          <w:footerReference w:type="default" r:id="rId12"/>
          <w:pgSz w:w="11906" w:h="16838"/>
          <w:pgMar w:top="1134" w:right="850" w:bottom="851" w:left="1418" w:header="709" w:footer="709" w:gutter="0"/>
          <w:cols w:space="708"/>
          <w:docGrid w:linePitch="360"/>
        </w:sectPr>
      </w:pP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</w:rPr>
      </w:pPr>
      <w:r w:rsidRPr="00E725B8">
        <w:rPr>
          <w:rFonts w:ascii="Times New Roman" w:hAnsi="Times New Roman"/>
        </w:rPr>
        <w:lastRenderedPageBreak/>
        <w:t>Приложение №3</w:t>
      </w: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725B8">
        <w:rPr>
          <w:rFonts w:ascii="Times New Roman" w:hAnsi="Times New Roman"/>
          <w:bCs/>
        </w:rPr>
        <w:t xml:space="preserve">                                                                                            к Административному регламенту</w:t>
      </w:r>
    </w:p>
    <w:p w:rsidR="00353C1F" w:rsidRPr="00E725B8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725B8">
        <w:rPr>
          <w:rFonts w:ascii="Times New Roman" w:hAnsi="Times New Roman"/>
          <w:bCs/>
        </w:rPr>
        <w:t>по предоставлению муниципальной услуги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>«Выдача уведомления о соответствии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построенных или реконструируемых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объекта индивидуального жилищного</w:t>
      </w:r>
    </w:p>
    <w:p w:rsidR="00353C1F" w:rsidRPr="00E725B8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725B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строительства или садового дома»</w:t>
      </w:r>
    </w:p>
    <w:p w:rsidR="00353C1F" w:rsidRDefault="00353C1F" w:rsidP="00353C1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353C1F" w:rsidRPr="00952EC2" w:rsidRDefault="00353C1F" w:rsidP="00353C1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EC2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Соболевского муниципального района</w:t>
      </w:r>
    </w:p>
    <w:p w:rsidR="00353C1F" w:rsidRDefault="00353C1F" w:rsidP="00353C1F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C1F" w:rsidRPr="00F22E88" w:rsidRDefault="00353C1F" w:rsidP="00353C1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353C1F" w:rsidTr="0058146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53C1F" w:rsidTr="0058146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53C1F" w:rsidTr="0058146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53C1F" w:rsidTr="0058146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7D1048" w:rsidRDefault="00353C1F" w:rsidP="0058146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53C1F" w:rsidTr="00581463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58146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несоответствии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53C1F" w:rsidRDefault="00353C1F" w:rsidP="00353C1F"/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6A31C6" w:rsidRDefault="00353C1F" w:rsidP="00353C1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6A31C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(построенного или реконструированного)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земельном участке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(сведения о несоответствии параметров построенных или реконструированных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объекта индивидуального жилищного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с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троительства или садового дома указанным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  </w:t>
      </w:r>
      <w:hyperlink r:id="rId13" w:history="1">
        <w:r w:rsidRPr="00E47C03">
          <w:rPr>
            <w:rFonts w:ascii="Times New Roman" w:eastAsia="Calibri" w:hAnsi="Times New Roman" w:cs="Times New Roman"/>
            <w:i/>
            <w:sz w:val="16"/>
            <w:szCs w:val="16"/>
            <w:lang w:eastAsia="en-US"/>
          </w:rPr>
          <w:t>пункте 1  части  19  статьи  55</w:t>
        </w:r>
      </w:hyperlink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Градостроительного  кодекса Российской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Федерации  предельным параметрам разрешенного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реконструкции  объектов капитального строительства, установленным правилами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землепользования  и  застройки, документацией по планировке территории, или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обязательным  требованиям к параметрам объектов капитального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установленным  Градостроительным  кодексом  Российской  Федерации,  другими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федеральными законами)</w:t>
      </w:r>
      <w:proofErr w:type="gramEnd"/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2)_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несоответствии вида разрешенного использования построенного 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реконструированного  объекта  капитального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 виду разрешенного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использования объекта индивидуального жилищного строительства или садового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дома, 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E47C03">
        <w:rPr>
          <w:rFonts w:ascii="Times New Roman" w:hAnsi="Times New Roman" w:cs="Times New Roman"/>
          <w:i/>
          <w:sz w:val="16"/>
          <w:szCs w:val="16"/>
        </w:rPr>
        <w:t>казанному в уведомлении о планируемом строительстве)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недопустимости размещения объекта индивидуального жилищного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строительства или </w:t>
      </w:r>
      <w:r>
        <w:rPr>
          <w:rFonts w:ascii="Times New Roman" w:hAnsi="Times New Roman" w:cs="Times New Roman"/>
          <w:i/>
          <w:sz w:val="16"/>
          <w:szCs w:val="16"/>
        </w:rPr>
        <w:t>садового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дома в соответствии с ограничениями,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установленными </w:t>
      </w:r>
      <w:r>
        <w:rPr>
          <w:rFonts w:ascii="Times New Roman" w:hAnsi="Times New Roman" w:cs="Times New Roman"/>
          <w:i/>
          <w:sz w:val="16"/>
          <w:szCs w:val="16"/>
        </w:rPr>
        <w:t>в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соответствии с земельным и иным законодательством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Российской Федерации на дату поступления уведомления, за исключением</w:t>
      </w:r>
      <w:r>
        <w:rPr>
          <w:rFonts w:ascii="Times New Roman" w:hAnsi="Times New Roman" w:cs="Times New Roman"/>
          <w:i/>
          <w:sz w:val="16"/>
          <w:szCs w:val="16"/>
        </w:rPr>
        <w:t xml:space="preserve"> случаев,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если указанные ограничения предусмотрены решением об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установлении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или изменении зоны с особыми условиями использования территории, принятым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отношении  планируемого к </w:t>
      </w:r>
      <w:r>
        <w:rPr>
          <w:rFonts w:ascii="Times New Roman" w:hAnsi="Times New Roman" w:cs="Times New Roman"/>
          <w:i/>
          <w:sz w:val="16"/>
          <w:szCs w:val="16"/>
        </w:rPr>
        <w:t xml:space="preserve"> с</w:t>
      </w:r>
      <w:r w:rsidRPr="00E47C03">
        <w:rPr>
          <w:rFonts w:ascii="Times New Roman" w:hAnsi="Times New Roman" w:cs="Times New Roman"/>
          <w:i/>
          <w:sz w:val="16"/>
          <w:szCs w:val="16"/>
        </w:rPr>
        <w:t>троительству, реконструкции объекта капитального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строительства,  и  такой  объект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 капитального  строительства  не  </w:t>
      </w: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введен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эксплуатацию)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/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>
      <w:bookmarkStart w:id="4" w:name="_GoBack"/>
      <w:bookmarkEnd w:id="4"/>
    </w:p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6C6C53" w:rsidRPr="001B4B72" w:rsidRDefault="006C6C53" w:rsidP="001B4B72">
      <w:pPr>
        <w:pStyle w:val="ConsPlusTitle"/>
        <w:jc w:val="right"/>
        <w:rPr>
          <w:rFonts w:ascii="Times New Roman" w:hAnsi="Times New Roman" w:cs="Times New Roman"/>
          <w:caps/>
          <w:sz w:val="28"/>
          <w:szCs w:val="28"/>
        </w:rPr>
      </w:pPr>
    </w:p>
    <w:sectPr w:rsidR="006C6C53" w:rsidRPr="001B4B72" w:rsidSect="00353C1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22" w:rsidRDefault="00E62F22" w:rsidP="002024B6">
      <w:pPr>
        <w:spacing w:after="0" w:line="240" w:lineRule="auto"/>
      </w:pPr>
      <w:r>
        <w:separator/>
      </w:r>
    </w:p>
  </w:endnote>
  <w:endnote w:type="continuationSeparator" w:id="0">
    <w:p w:rsidR="00E62F22" w:rsidRDefault="00E62F22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22" w:rsidRDefault="00E62F2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22" w:rsidRDefault="00E62F2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22" w:rsidRDefault="00E62F22" w:rsidP="002024B6">
      <w:pPr>
        <w:spacing w:after="0" w:line="240" w:lineRule="auto"/>
      </w:pPr>
      <w:r>
        <w:separator/>
      </w:r>
    </w:p>
  </w:footnote>
  <w:footnote w:type="continuationSeparator" w:id="0">
    <w:p w:rsidR="00E62F22" w:rsidRDefault="00E62F22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4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  <w:num w:numId="27">
    <w:abstractNumId w:val="13"/>
  </w:num>
  <w:num w:numId="28">
    <w:abstractNumId w:val="23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1E47"/>
    <w:rsid w:val="00036526"/>
    <w:rsid w:val="00044A12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D8E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E12CF"/>
    <w:rsid w:val="000E1E80"/>
    <w:rsid w:val="000E2CBD"/>
    <w:rsid w:val="000F0D68"/>
    <w:rsid w:val="00101A20"/>
    <w:rsid w:val="001029A5"/>
    <w:rsid w:val="001077A1"/>
    <w:rsid w:val="00111037"/>
    <w:rsid w:val="00113711"/>
    <w:rsid w:val="00113B03"/>
    <w:rsid w:val="00115439"/>
    <w:rsid w:val="00115E28"/>
    <w:rsid w:val="001178DA"/>
    <w:rsid w:val="001204EF"/>
    <w:rsid w:val="00122E64"/>
    <w:rsid w:val="001238CC"/>
    <w:rsid w:val="001260DF"/>
    <w:rsid w:val="00130AD1"/>
    <w:rsid w:val="001310CC"/>
    <w:rsid w:val="0013150A"/>
    <w:rsid w:val="00132730"/>
    <w:rsid w:val="001341EA"/>
    <w:rsid w:val="00135D98"/>
    <w:rsid w:val="001403ED"/>
    <w:rsid w:val="00143BCB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23A9"/>
    <w:rsid w:val="001A5BC4"/>
    <w:rsid w:val="001A7CB7"/>
    <w:rsid w:val="001B077A"/>
    <w:rsid w:val="001B331F"/>
    <w:rsid w:val="001B4046"/>
    <w:rsid w:val="001B4B72"/>
    <w:rsid w:val="001C18B7"/>
    <w:rsid w:val="001C59A1"/>
    <w:rsid w:val="001C5A06"/>
    <w:rsid w:val="001C6307"/>
    <w:rsid w:val="001C6C2B"/>
    <w:rsid w:val="001C6CE3"/>
    <w:rsid w:val="001D1DBB"/>
    <w:rsid w:val="001D458D"/>
    <w:rsid w:val="001D5B74"/>
    <w:rsid w:val="001D76C3"/>
    <w:rsid w:val="001E3E46"/>
    <w:rsid w:val="001E7811"/>
    <w:rsid w:val="001F13F9"/>
    <w:rsid w:val="001F2979"/>
    <w:rsid w:val="001F2E7E"/>
    <w:rsid w:val="001F55A0"/>
    <w:rsid w:val="002024B6"/>
    <w:rsid w:val="00206ED9"/>
    <w:rsid w:val="002103EA"/>
    <w:rsid w:val="0021313B"/>
    <w:rsid w:val="00215014"/>
    <w:rsid w:val="0023287D"/>
    <w:rsid w:val="00233F79"/>
    <w:rsid w:val="00240FA5"/>
    <w:rsid w:val="00241BFC"/>
    <w:rsid w:val="00241E77"/>
    <w:rsid w:val="002452E4"/>
    <w:rsid w:val="00246B49"/>
    <w:rsid w:val="00250290"/>
    <w:rsid w:val="00250A9F"/>
    <w:rsid w:val="00253D3F"/>
    <w:rsid w:val="002553DA"/>
    <w:rsid w:val="0025617F"/>
    <w:rsid w:val="00266D6C"/>
    <w:rsid w:val="0027007D"/>
    <w:rsid w:val="00277A05"/>
    <w:rsid w:val="00280D21"/>
    <w:rsid w:val="002823D2"/>
    <w:rsid w:val="00285326"/>
    <w:rsid w:val="00287722"/>
    <w:rsid w:val="00292BF0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2216"/>
    <w:rsid w:val="002E26B5"/>
    <w:rsid w:val="002E69B4"/>
    <w:rsid w:val="002F055A"/>
    <w:rsid w:val="002F5E1B"/>
    <w:rsid w:val="003030CC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E23"/>
    <w:rsid w:val="00332B8E"/>
    <w:rsid w:val="00340906"/>
    <w:rsid w:val="00342C47"/>
    <w:rsid w:val="003443EE"/>
    <w:rsid w:val="003467F5"/>
    <w:rsid w:val="00353C1F"/>
    <w:rsid w:val="00364399"/>
    <w:rsid w:val="00365815"/>
    <w:rsid w:val="00375972"/>
    <w:rsid w:val="0037683C"/>
    <w:rsid w:val="00387546"/>
    <w:rsid w:val="0039086A"/>
    <w:rsid w:val="00393989"/>
    <w:rsid w:val="003967F3"/>
    <w:rsid w:val="00397ED7"/>
    <w:rsid w:val="003A0AB8"/>
    <w:rsid w:val="003A4D92"/>
    <w:rsid w:val="003A715F"/>
    <w:rsid w:val="003B4B63"/>
    <w:rsid w:val="003C1825"/>
    <w:rsid w:val="003C30B0"/>
    <w:rsid w:val="003C3B74"/>
    <w:rsid w:val="003C4757"/>
    <w:rsid w:val="003C5A8D"/>
    <w:rsid w:val="003D0A58"/>
    <w:rsid w:val="003D3848"/>
    <w:rsid w:val="003D7534"/>
    <w:rsid w:val="003F1480"/>
    <w:rsid w:val="003F232E"/>
    <w:rsid w:val="003F5ADD"/>
    <w:rsid w:val="003F7269"/>
    <w:rsid w:val="00407146"/>
    <w:rsid w:val="00415CD0"/>
    <w:rsid w:val="0041710A"/>
    <w:rsid w:val="004177F6"/>
    <w:rsid w:val="00422748"/>
    <w:rsid w:val="0042489F"/>
    <w:rsid w:val="004249FE"/>
    <w:rsid w:val="004304BF"/>
    <w:rsid w:val="0043361F"/>
    <w:rsid w:val="0045195D"/>
    <w:rsid w:val="0045237A"/>
    <w:rsid w:val="00456F1A"/>
    <w:rsid w:val="004575F8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9DA"/>
    <w:rsid w:val="00493BB4"/>
    <w:rsid w:val="00495BE5"/>
    <w:rsid w:val="004976F3"/>
    <w:rsid w:val="004A078A"/>
    <w:rsid w:val="004B0F75"/>
    <w:rsid w:val="004B4012"/>
    <w:rsid w:val="004B660F"/>
    <w:rsid w:val="004C01D5"/>
    <w:rsid w:val="004C1FBD"/>
    <w:rsid w:val="004C29EE"/>
    <w:rsid w:val="004D21A3"/>
    <w:rsid w:val="004D2267"/>
    <w:rsid w:val="004D4EA1"/>
    <w:rsid w:val="004D4F34"/>
    <w:rsid w:val="004E0EA3"/>
    <w:rsid w:val="004E4488"/>
    <w:rsid w:val="004E4F94"/>
    <w:rsid w:val="004E5F90"/>
    <w:rsid w:val="004F5DC5"/>
    <w:rsid w:val="00501AE9"/>
    <w:rsid w:val="00501D1D"/>
    <w:rsid w:val="00504915"/>
    <w:rsid w:val="00504C01"/>
    <w:rsid w:val="00505593"/>
    <w:rsid w:val="00507372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63F00"/>
    <w:rsid w:val="005678B9"/>
    <w:rsid w:val="005722B4"/>
    <w:rsid w:val="005738DE"/>
    <w:rsid w:val="00577626"/>
    <w:rsid w:val="00581463"/>
    <w:rsid w:val="00581ADA"/>
    <w:rsid w:val="00590721"/>
    <w:rsid w:val="00590B93"/>
    <w:rsid w:val="005939ED"/>
    <w:rsid w:val="00595B07"/>
    <w:rsid w:val="005966DA"/>
    <w:rsid w:val="005A28A9"/>
    <w:rsid w:val="005A3843"/>
    <w:rsid w:val="005A3D54"/>
    <w:rsid w:val="005A40F8"/>
    <w:rsid w:val="005C58F7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7879"/>
    <w:rsid w:val="00650315"/>
    <w:rsid w:val="00652306"/>
    <w:rsid w:val="00654BB6"/>
    <w:rsid w:val="00657001"/>
    <w:rsid w:val="00657A89"/>
    <w:rsid w:val="00661950"/>
    <w:rsid w:val="00664502"/>
    <w:rsid w:val="0066620A"/>
    <w:rsid w:val="00667DA2"/>
    <w:rsid w:val="00674858"/>
    <w:rsid w:val="006763DD"/>
    <w:rsid w:val="00676E06"/>
    <w:rsid w:val="00682C88"/>
    <w:rsid w:val="0068300A"/>
    <w:rsid w:val="006856B4"/>
    <w:rsid w:val="006872CB"/>
    <w:rsid w:val="0069051D"/>
    <w:rsid w:val="006919FA"/>
    <w:rsid w:val="00695378"/>
    <w:rsid w:val="006B0716"/>
    <w:rsid w:val="006C161E"/>
    <w:rsid w:val="006C5B6F"/>
    <w:rsid w:val="006C6C53"/>
    <w:rsid w:val="006D2EB4"/>
    <w:rsid w:val="006D3779"/>
    <w:rsid w:val="006D3B7E"/>
    <w:rsid w:val="006D4D37"/>
    <w:rsid w:val="006F249B"/>
    <w:rsid w:val="006F3A13"/>
    <w:rsid w:val="006F3A97"/>
    <w:rsid w:val="006F3C57"/>
    <w:rsid w:val="006F435C"/>
    <w:rsid w:val="006F448F"/>
    <w:rsid w:val="006F4983"/>
    <w:rsid w:val="006F6286"/>
    <w:rsid w:val="00700C79"/>
    <w:rsid w:val="00706A49"/>
    <w:rsid w:val="00711162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190D"/>
    <w:rsid w:val="0076747A"/>
    <w:rsid w:val="007678C3"/>
    <w:rsid w:val="0077244C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497F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11E0E"/>
    <w:rsid w:val="00812414"/>
    <w:rsid w:val="00813187"/>
    <w:rsid w:val="00817D7A"/>
    <w:rsid w:val="00830BBE"/>
    <w:rsid w:val="0083378B"/>
    <w:rsid w:val="008354A5"/>
    <w:rsid w:val="00836296"/>
    <w:rsid w:val="00837F6D"/>
    <w:rsid w:val="00841F5B"/>
    <w:rsid w:val="00843BA4"/>
    <w:rsid w:val="0085212A"/>
    <w:rsid w:val="00855D4C"/>
    <w:rsid w:val="008607BA"/>
    <w:rsid w:val="0086176C"/>
    <w:rsid w:val="0086532F"/>
    <w:rsid w:val="00865B6B"/>
    <w:rsid w:val="0087108A"/>
    <w:rsid w:val="00882BAD"/>
    <w:rsid w:val="008878D4"/>
    <w:rsid w:val="00890BBB"/>
    <w:rsid w:val="00894909"/>
    <w:rsid w:val="00894DEC"/>
    <w:rsid w:val="00897D63"/>
    <w:rsid w:val="008A129F"/>
    <w:rsid w:val="008A1D75"/>
    <w:rsid w:val="008A2467"/>
    <w:rsid w:val="008A4C02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67E9"/>
    <w:rsid w:val="008D68E4"/>
    <w:rsid w:val="008E5DDD"/>
    <w:rsid w:val="008E63FE"/>
    <w:rsid w:val="008F04E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90A36"/>
    <w:rsid w:val="0099371F"/>
    <w:rsid w:val="009979B5"/>
    <w:rsid w:val="009A60D0"/>
    <w:rsid w:val="009A6908"/>
    <w:rsid w:val="009B2D0E"/>
    <w:rsid w:val="009B5D0A"/>
    <w:rsid w:val="009B6BEC"/>
    <w:rsid w:val="009B7F9A"/>
    <w:rsid w:val="009C059B"/>
    <w:rsid w:val="009C3AFF"/>
    <w:rsid w:val="009D1307"/>
    <w:rsid w:val="009D6E16"/>
    <w:rsid w:val="009D72BA"/>
    <w:rsid w:val="009E75ED"/>
    <w:rsid w:val="009F6F6A"/>
    <w:rsid w:val="009F7CF0"/>
    <w:rsid w:val="00A014FD"/>
    <w:rsid w:val="00A018BB"/>
    <w:rsid w:val="00A02B14"/>
    <w:rsid w:val="00A11808"/>
    <w:rsid w:val="00A13822"/>
    <w:rsid w:val="00A13FB8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13D4"/>
    <w:rsid w:val="00A52065"/>
    <w:rsid w:val="00A5466A"/>
    <w:rsid w:val="00A550BC"/>
    <w:rsid w:val="00A66058"/>
    <w:rsid w:val="00A67A42"/>
    <w:rsid w:val="00A67B09"/>
    <w:rsid w:val="00A714F2"/>
    <w:rsid w:val="00A73AED"/>
    <w:rsid w:val="00A820CE"/>
    <w:rsid w:val="00A82DBB"/>
    <w:rsid w:val="00A838D1"/>
    <w:rsid w:val="00A912B0"/>
    <w:rsid w:val="00A94990"/>
    <w:rsid w:val="00A96630"/>
    <w:rsid w:val="00AA0C86"/>
    <w:rsid w:val="00AA171A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2641"/>
    <w:rsid w:val="00AC40A5"/>
    <w:rsid w:val="00AC4D44"/>
    <w:rsid w:val="00AC4DD8"/>
    <w:rsid w:val="00AC54E1"/>
    <w:rsid w:val="00AC60CA"/>
    <w:rsid w:val="00AD42F7"/>
    <w:rsid w:val="00AD4EE7"/>
    <w:rsid w:val="00AD642D"/>
    <w:rsid w:val="00AE2DF4"/>
    <w:rsid w:val="00AE3653"/>
    <w:rsid w:val="00AE7396"/>
    <w:rsid w:val="00AE7DE8"/>
    <w:rsid w:val="00AF0009"/>
    <w:rsid w:val="00AF052F"/>
    <w:rsid w:val="00AF0965"/>
    <w:rsid w:val="00B0171C"/>
    <w:rsid w:val="00B04244"/>
    <w:rsid w:val="00B05943"/>
    <w:rsid w:val="00B13B7D"/>
    <w:rsid w:val="00B23B50"/>
    <w:rsid w:val="00B2427B"/>
    <w:rsid w:val="00B33FEB"/>
    <w:rsid w:val="00B37725"/>
    <w:rsid w:val="00B46FCC"/>
    <w:rsid w:val="00B474CF"/>
    <w:rsid w:val="00B51A65"/>
    <w:rsid w:val="00B53CA8"/>
    <w:rsid w:val="00B5564D"/>
    <w:rsid w:val="00B65364"/>
    <w:rsid w:val="00B73409"/>
    <w:rsid w:val="00B76AAF"/>
    <w:rsid w:val="00B774C7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4CC2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1FEA"/>
    <w:rsid w:val="00C62DAB"/>
    <w:rsid w:val="00C65AF3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52D9"/>
    <w:rsid w:val="00C9682B"/>
    <w:rsid w:val="00C974D8"/>
    <w:rsid w:val="00CA7534"/>
    <w:rsid w:val="00CB52C2"/>
    <w:rsid w:val="00CB6FF9"/>
    <w:rsid w:val="00CC0344"/>
    <w:rsid w:val="00CC122F"/>
    <w:rsid w:val="00CC262E"/>
    <w:rsid w:val="00CC5A89"/>
    <w:rsid w:val="00CC67B0"/>
    <w:rsid w:val="00CD5C2A"/>
    <w:rsid w:val="00CE2BAC"/>
    <w:rsid w:val="00CE389C"/>
    <w:rsid w:val="00CE46AA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7B91"/>
    <w:rsid w:val="00D326C0"/>
    <w:rsid w:val="00D35A27"/>
    <w:rsid w:val="00D47730"/>
    <w:rsid w:val="00D52889"/>
    <w:rsid w:val="00D545CE"/>
    <w:rsid w:val="00D54673"/>
    <w:rsid w:val="00D603FA"/>
    <w:rsid w:val="00D63288"/>
    <w:rsid w:val="00D65052"/>
    <w:rsid w:val="00D709AB"/>
    <w:rsid w:val="00D71B0E"/>
    <w:rsid w:val="00D77DF5"/>
    <w:rsid w:val="00D91F28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1FFD"/>
    <w:rsid w:val="00DE3671"/>
    <w:rsid w:val="00DE4656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6AA7"/>
    <w:rsid w:val="00E27C3A"/>
    <w:rsid w:val="00E3266C"/>
    <w:rsid w:val="00E4186A"/>
    <w:rsid w:val="00E46441"/>
    <w:rsid w:val="00E523D6"/>
    <w:rsid w:val="00E52C97"/>
    <w:rsid w:val="00E61A8F"/>
    <w:rsid w:val="00E62F22"/>
    <w:rsid w:val="00E63777"/>
    <w:rsid w:val="00E65D42"/>
    <w:rsid w:val="00E66AC3"/>
    <w:rsid w:val="00E70EA4"/>
    <w:rsid w:val="00E7154B"/>
    <w:rsid w:val="00E725B8"/>
    <w:rsid w:val="00E806CE"/>
    <w:rsid w:val="00E80F65"/>
    <w:rsid w:val="00E812C4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4AE5"/>
    <w:rsid w:val="00EA51D7"/>
    <w:rsid w:val="00EA6DCE"/>
    <w:rsid w:val="00EB4901"/>
    <w:rsid w:val="00EB6120"/>
    <w:rsid w:val="00EC2F5E"/>
    <w:rsid w:val="00EC36B0"/>
    <w:rsid w:val="00EC79F1"/>
    <w:rsid w:val="00ED71BB"/>
    <w:rsid w:val="00EE09F5"/>
    <w:rsid w:val="00EF1C7D"/>
    <w:rsid w:val="00EF70E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49EE"/>
    <w:rsid w:val="00F34B91"/>
    <w:rsid w:val="00F37BAB"/>
    <w:rsid w:val="00F37E66"/>
    <w:rsid w:val="00F404C8"/>
    <w:rsid w:val="00F415DD"/>
    <w:rsid w:val="00F425E7"/>
    <w:rsid w:val="00F43151"/>
    <w:rsid w:val="00F44409"/>
    <w:rsid w:val="00F45883"/>
    <w:rsid w:val="00F51DAA"/>
    <w:rsid w:val="00F520EF"/>
    <w:rsid w:val="00F5227F"/>
    <w:rsid w:val="00F52A18"/>
    <w:rsid w:val="00F55F4B"/>
    <w:rsid w:val="00F658C3"/>
    <w:rsid w:val="00F662F6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34EB"/>
    <w:rsid w:val="00FA6758"/>
    <w:rsid w:val="00FA7269"/>
    <w:rsid w:val="00FB03BE"/>
    <w:rsid w:val="00FB4EEF"/>
    <w:rsid w:val="00FC6FA3"/>
    <w:rsid w:val="00FD500C"/>
    <w:rsid w:val="00FD7416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7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277A05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277A05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Default">
    <w:name w:val="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EF6381353465E0D67B9B0D5C3A9AB4F23E3665AAB6E48194A39E5FDD6DFDAEF102109176CCf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C3B63FF8978E5630E630835E40ADFA8A088522E87C134FB39C67A74BB5n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FA02-96C2-4CD8-8731-37AA8091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38</Pages>
  <Words>13132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RukUprDel</cp:lastModifiedBy>
  <cp:revision>27</cp:revision>
  <cp:lastPrinted>2019-05-26T23:12:00Z</cp:lastPrinted>
  <dcterms:created xsi:type="dcterms:W3CDTF">2017-12-06T12:38:00Z</dcterms:created>
  <dcterms:modified xsi:type="dcterms:W3CDTF">2019-05-26T23:13:00Z</dcterms:modified>
</cp:coreProperties>
</file>